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80" w:rsidRPr="002773DB" w:rsidRDefault="00037788" w:rsidP="003B4E12">
      <w:pPr>
        <w:framePr w:w="2325" w:h="14742" w:hRule="exact" w:hSpace="181" w:wrap="around" w:vAnchor="page" w:hAnchor="page" w:x="8875" w:y="710" w:anchorLock="1"/>
        <w:shd w:val="solid" w:color="FFFFFF" w:fill="FFFFFF"/>
        <w:rPr>
          <w:rFonts w:ascii="Georgia" w:hAnsi="Georgia"/>
          <w:sz w:val="16"/>
          <w:szCs w:val="16"/>
          <w:lang w:val="en-GB"/>
        </w:rPr>
      </w:pPr>
      <w:bookmarkStart w:id="0" w:name="_GoBack"/>
      <w:bookmarkEnd w:id="0"/>
      <w:r w:rsidRPr="002773DB">
        <w:rPr>
          <w:rFonts w:ascii="Georgia" w:hAnsi="Georgia"/>
          <w:noProof/>
          <w:sz w:val="16"/>
          <w:szCs w:val="16"/>
        </w:rPr>
        <w:drawing>
          <wp:inline distT="0" distB="0" distL="0" distR="0" wp14:anchorId="23B1D37F" wp14:editId="780B6203">
            <wp:extent cx="1047750" cy="542925"/>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47750" cy="542925"/>
                    </a:xfrm>
                    <a:prstGeom prst="rect">
                      <a:avLst/>
                    </a:prstGeom>
                    <a:noFill/>
                    <a:ln w="9525">
                      <a:noFill/>
                      <a:miter lim="800000"/>
                      <a:headEnd/>
                      <a:tailEnd/>
                    </a:ln>
                  </pic:spPr>
                </pic:pic>
              </a:graphicData>
            </a:graphic>
          </wp:inline>
        </w:drawing>
      </w:r>
    </w:p>
    <w:tbl>
      <w:tblPr>
        <w:tblStyle w:val="Tabellenraster"/>
        <w:tblW w:w="2325"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25"/>
      </w:tblGrid>
      <w:tr w:rsidR="00AF3E46" w:rsidRPr="002773DB" w:rsidTr="003B4E12">
        <w:trPr>
          <w:trHeight w:hRule="exact" w:val="198"/>
        </w:trPr>
        <w:tc>
          <w:tcPr>
            <w:tcW w:w="2325" w:type="dxa"/>
            <w:tcBorders>
              <w:bottom w:val="nil"/>
            </w:tcBorders>
            <w:tcMar>
              <w:left w:w="0" w:type="dxa"/>
              <w:right w:w="0" w:type="dxa"/>
            </w:tcMar>
          </w:tcPr>
          <w:p w:rsidR="00AF3E46" w:rsidRPr="002773DB" w:rsidRDefault="00AF3E46" w:rsidP="003B4E12">
            <w:pPr>
              <w:framePr w:w="2325" w:h="14742" w:hRule="exact" w:hSpace="181" w:wrap="around" w:vAnchor="page" w:hAnchor="page" w:x="8875" w:y="710" w:anchorLock="1"/>
              <w:tabs>
                <w:tab w:val="left" w:pos="363"/>
              </w:tabs>
              <w:spacing w:line="184" w:lineRule="exact"/>
              <w:rPr>
                <w:rFonts w:ascii="Georgia" w:hAnsi="Georgia"/>
                <w:sz w:val="14"/>
                <w:szCs w:val="14"/>
                <w:lang w:val="en-GB"/>
              </w:rPr>
            </w:pPr>
          </w:p>
        </w:tc>
      </w:tr>
      <w:tr w:rsidR="00AF3E46" w:rsidRPr="002773DB" w:rsidTr="003B4E12">
        <w:trPr>
          <w:trHeight w:hRule="exact" w:val="85"/>
        </w:trPr>
        <w:tc>
          <w:tcPr>
            <w:tcW w:w="2325" w:type="dxa"/>
            <w:tcBorders>
              <w:top w:val="nil"/>
              <w:bottom w:val="nil"/>
            </w:tcBorders>
            <w:tcMar>
              <w:left w:w="0" w:type="dxa"/>
              <w:right w:w="0" w:type="dxa"/>
            </w:tcMar>
          </w:tcPr>
          <w:p w:rsidR="00AF3E46" w:rsidRPr="002773DB" w:rsidRDefault="00AF3E46" w:rsidP="003B4E12">
            <w:pPr>
              <w:framePr w:w="2325" w:h="14742" w:hRule="exact" w:hSpace="181" w:wrap="around" w:vAnchor="page" w:hAnchor="page" w:x="8875" w:y="710" w:anchorLock="1"/>
              <w:tabs>
                <w:tab w:val="left" w:pos="363"/>
              </w:tabs>
              <w:spacing w:line="184" w:lineRule="exact"/>
              <w:rPr>
                <w:rFonts w:ascii="Georgia" w:hAnsi="Georgia"/>
                <w:sz w:val="14"/>
                <w:szCs w:val="14"/>
                <w:lang w:val="en-GB"/>
              </w:rPr>
            </w:pPr>
          </w:p>
        </w:tc>
      </w:tr>
    </w:tbl>
    <w:p w:rsidR="003B4E12" w:rsidRPr="002773DB" w:rsidRDefault="003B4E12" w:rsidP="003B4E12">
      <w:pPr>
        <w:framePr w:w="2325" w:h="14742" w:hRule="exact" w:hSpace="181" w:wrap="around" w:vAnchor="page" w:hAnchor="page" w:x="8875" w:y="710" w:anchorLock="1"/>
        <w:shd w:val="solid" w:color="FFFFFF" w:fill="FFFFFF"/>
        <w:tabs>
          <w:tab w:val="left" w:pos="454"/>
        </w:tabs>
        <w:spacing w:before="20" w:line="82" w:lineRule="exact"/>
        <w:rPr>
          <w:rFonts w:ascii="Georgia" w:hAnsi="Georgia"/>
          <w:sz w:val="14"/>
          <w:szCs w:val="14"/>
          <w:lang w:val="en-GB"/>
        </w:rPr>
      </w:pPr>
    </w:p>
    <w:p w:rsidR="000423F5" w:rsidRPr="002773DB" w:rsidRDefault="000423F5" w:rsidP="003B4E12">
      <w:pPr>
        <w:framePr w:w="2325" w:h="14742" w:hRule="exact" w:hSpace="181" w:wrap="around" w:vAnchor="page" w:hAnchor="page" w:x="8875" w:y="710" w:anchorLock="1"/>
        <w:shd w:val="solid" w:color="FFFFFF" w:fill="FFFFFF"/>
        <w:tabs>
          <w:tab w:val="left" w:pos="454"/>
        </w:tabs>
        <w:spacing w:line="184" w:lineRule="exact"/>
        <w:rPr>
          <w:rFonts w:ascii="Georgia" w:hAnsi="Georgia"/>
          <w:sz w:val="14"/>
          <w:szCs w:val="14"/>
          <w:lang w:val="en-GB"/>
        </w:rPr>
      </w:pPr>
      <w:r w:rsidRPr="002773DB">
        <w:rPr>
          <w:rFonts w:ascii="Georgia" w:hAnsi="Georgia"/>
          <w:sz w:val="14"/>
          <w:szCs w:val="14"/>
          <w:lang w:val="en-GB"/>
        </w:rPr>
        <w:t>Tel</w:t>
      </w:r>
      <w:r w:rsidRPr="002773DB">
        <w:rPr>
          <w:rFonts w:ascii="Georgia" w:hAnsi="Georgia"/>
          <w:sz w:val="14"/>
          <w:szCs w:val="14"/>
          <w:lang w:val="en-GB"/>
        </w:rPr>
        <w:tab/>
      </w:r>
      <w:r w:rsidR="00AA39C5" w:rsidRPr="002773DB">
        <w:rPr>
          <w:rFonts w:ascii="Georgia" w:hAnsi="Georgia"/>
          <w:sz w:val="14"/>
          <w:szCs w:val="14"/>
          <w:lang w:val="en-GB"/>
        </w:rPr>
        <w:t>030 65211 1</w:t>
      </w:r>
      <w:r w:rsidR="00F301E4" w:rsidRPr="002773DB">
        <w:rPr>
          <w:rFonts w:ascii="Georgia" w:hAnsi="Georgia"/>
          <w:sz w:val="14"/>
          <w:szCs w:val="14"/>
          <w:lang w:val="en-GB"/>
        </w:rPr>
        <w:t>83</w:t>
      </w:r>
      <w:r w:rsidR="00B47A95" w:rsidRPr="002773DB">
        <w:rPr>
          <w:rFonts w:ascii="Georgia" w:hAnsi="Georgia"/>
          <w:sz w:val="14"/>
          <w:szCs w:val="14"/>
          <w:lang w:val="en-GB"/>
        </w:rPr>
        <w:t>3</w:t>
      </w:r>
    </w:p>
    <w:p w:rsidR="000423F5" w:rsidRPr="002773DB" w:rsidRDefault="000423F5" w:rsidP="003B4E12">
      <w:pPr>
        <w:framePr w:w="2325" w:h="14742" w:hRule="exact" w:hSpace="181" w:wrap="around" w:vAnchor="page" w:hAnchor="page" w:x="8875" w:y="710" w:anchorLock="1"/>
        <w:shd w:val="solid" w:color="FFFFFF" w:fill="FFFFFF"/>
        <w:tabs>
          <w:tab w:val="left" w:pos="454"/>
        </w:tabs>
        <w:spacing w:line="184" w:lineRule="exact"/>
        <w:rPr>
          <w:rFonts w:ascii="Georgia" w:hAnsi="Georgia"/>
          <w:sz w:val="14"/>
          <w:szCs w:val="14"/>
          <w:lang w:val="en-GB"/>
        </w:rPr>
      </w:pPr>
      <w:r w:rsidRPr="002773DB">
        <w:rPr>
          <w:rFonts w:ascii="Georgia" w:hAnsi="Georgia"/>
          <w:sz w:val="14"/>
          <w:szCs w:val="14"/>
          <w:lang w:val="en-GB"/>
        </w:rPr>
        <w:t>Fax</w:t>
      </w:r>
      <w:r w:rsidRPr="002773DB">
        <w:rPr>
          <w:rFonts w:ascii="Georgia" w:hAnsi="Georgia"/>
          <w:sz w:val="14"/>
          <w:szCs w:val="14"/>
          <w:lang w:val="en-GB"/>
        </w:rPr>
        <w:tab/>
      </w:r>
      <w:bookmarkStart w:id="1" w:name="Text5"/>
      <w:r w:rsidR="000A5D36" w:rsidRPr="002773DB">
        <w:rPr>
          <w:rFonts w:ascii="Georgia" w:hAnsi="Georgia"/>
          <w:sz w:val="14"/>
          <w:szCs w:val="14"/>
          <w:lang w:val="en-GB"/>
        </w:rPr>
        <w:t>030 65211 3</w:t>
      </w:r>
      <w:r w:rsidR="00F301E4" w:rsidRPr="002773DB">
        <w:rPr>
          <w:rFonts w:ascii="Georgia" w:hAnsi="Georgia"/>
          <w:sz w:val="14"/>
          <w:szCs w:val="14"/>
          <w:lang w:val="en-GB"/>
        </w:rPr>
        <w:t>83</w:t>
      </w:r>
      <w:bookmarkEnd w:id="1"/>
      <w:r w:rsidR="00B47A95" w:rsidRPr="002773DB">
        <w:rPr>
          <w:rFonts w:ascii="Georgia" w:hAnsi="Georgia"/>
          <w:sz w:val="14"/>
          <w:szCs w:val="14"/>
          <w:lang w:val="en-GB"/>
        </w:rPr>
        <w:t>3</w:t>
      </w:r>
    </w:p>
    <w:p w:rsidR="0017496D" w:rsidRPr="002773DB" w:rsidRDefault="0017496D" w:rsidP="003B4E12">
      <w:pPr>
        <w:framePr w:w="2325" w:h="14742" w:hRule="exact" w:hSpace="181" w:wrap="around" w:vAnchor="page" w:hAnchor="page" w:x="8875" w:y="710" w:anchorLock="1"/>
        <w:shd w:val="solid" w:color="FFFFFF" w:fill="FFFFFF"/>
        <w:tabs>
          <w:tab w:val="left" w:pos="454"/>
        </w:tabs>
        <w:spacing w:line="92" w:lineRule="exact"/>
        <w:rPr>
          <w:rFonts w:ascii="Georgia" w:hAnsi="Georgia"/>
          <w:sz w:val="14"/>
          <w:szCs w:val="14"/>
          <w:lang w:val="en-GB"/>
        </w:rPr>
      </w:pPr>
    </w:p>
    <w:tbl>
      <w:tblPr>
        <w:tblStyle w:val="Tabellenraster"/>
        <w:tblW w:w="2325"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25"/>
      </w:tblGrid>
      <w:tr w:rsidR="00382632" w:rsidRPr="002773DB" w:rsidTr="00382632">
        <w:trPr>
          <w:trHeight w:hRule="exact" w:val="198"/>
        </w:trPr>
        <w:tc>
          <w:tcPr>
            <w:tcW w:w="2325" w:type="dxa"/>
            <w:tcBorders>
              <w:bottom w:val="single" w:sz="2" w:space="0" w:color="auto"/>
            </w:tcBorders>
            <w:tcMar>
              <w:left w:w="0" w:type="dxa"/>
              <w:right w:w="0" w:type="dxa"/>
            </w:tcMar>
          </w:tcPr>
          <w:p w:rsidR="00382632" w:rsidRPr="002773DB" w:rsidRDefault="00382632" w:rsidP="00382632">
            <w:pPr>
              <w:framePr w:w="2325" w:h="14742" w:hRule="exact" w:hSpace="181" w:wrap="around" w:vAnchor="page" w:hAnchor="page" w:x="8875" w:y="710" w:anchorLock="1"/>
              <w:tabs>
                <w:tab w:val="left" w:pos="363"/>
              </w:tabs>
              <w:spacing w:line="184" w:lineRule="exact"/>
              <w:rPr>
                <w:rFonts w:ascii="Georgia" w:hAnsi="Georgia"/>
                <w:sz w:val="14"/>
                <w:szCs w:val="14"/>
                <w:lang w:val="en-GB"/>
              </w:rPr>
            </w:pPr>
          </w:p>
        </w:tc>
      </w:tr>
      <w:tr w:rsidR="00382632" w:rsidRPr="002773DB" w:rsidTr="00382632">
        <w:trPr>
          <w:trHeight w:hRule="exact" w:val="85"/>
        </w:trPr>
        <w:tc>
          <w:tcPr>
            <w:tcW w:w="2325" w:type="dxa"/>
            <w:tcBorders>
              <w:top w:val="single" w:sz="2" w:space="0" w:color="auto"/>
              <w:bottom w:val="nil"/>
            </w:tcBorders>
            <w:tcMar>
              <w:left w:w="0" w:type="dxa"/>
              <w:right w:w="0" w:type="dxa"/>
            </w:tcMar>
          </w:tcPr>
          <w:p w:rsidR="00382632" w:rsidRPr="002773DB" w:rsidRDefault="00382632" w:rsidP="00382632">
            <w:pPr>
              <w:framePr w:w="2325" w:h="14742" w:hRule="exact" w:hSpace="181" w:wrap="around" w:vAnchor="page" w:hAnchor="page" w:x="8875" w:y="710" w:anchorLock="1"/>
              <w:tabs>
                <w:tab w:val="left" w:pos="363"/>
              </w:tabs>
              <w:spacing w:line="184" w:lineRule="exact"/>
              <w:rPr>
                <w:rFonts w:ascii="Georgia" w:hAnsi="Georgia"/>
                <w:sz w:val="14"/>
                <w:szCs w:val="14"/>
                <w:lang w:val="en-GB"/>
              </w:rPr>
            </w:pPr>
          </w:p>
        </w:tc>
      </w:tr>
    </w:tbl>
    <w:p w:rsidR="00561F3E" w:rsidRPr="002773DB" w:rsidRDefault="00561F3E" w:rsidP="003B4E12">
      <w:pPr>
        <w:framePr w:w="2325" w:h="14742" w:hRule="exact" w:hSpace="181" w:wrap="around" w:vAnchor="page" w:hAnchor="page" w:x="8875" w:y="710" w:anchorLock="1"/>
        <w:shd w:val="solid" w:color="FFFFFF" w:fill="FFFFFF"/>
        <w:tabs>
          <w:tab w:val="left" w:pos="363"/>
        </w:tabs>
        <w:spacing w:line="184" w:lineRule="exact"/>
        <w:rPr>
          <w:rFonts w:ascii="Georgia" w:hAnsi="Georgia"/>
          <w:sz w:val="14"/>
          <w:szCs w:val="14"/>
          <w:lang w:val="en-GB"/>
        </w:rPr>
      </w:pPr>
      <w:r w:rsidRPr="002773DB">
        <w:rPr>
          <w:rFonts w:ascii="Georgia" w:hAnsi="Georgia"/>
          <w:sz w:val="14"/>
          <w:szCs w:val="14"/>
          <w:lang w:val="en-GB"/>
        </w:rPr>
        <w:t>Evangelisches Werk</w:t>
      </w:r>
    </w:p>
    <w:p w:rsidR="00561F3E" w:rsidRPr="00A527BC" w:rsidRDefault="00561F3E" w:rsidP="003B4E12">
      <w:pPr>
        <w:framePr w:w="2325" w:h="14742" w:hRule="exact" w:hSpace="181" w:wrap="around" w:vAnchor="page" w:hAnchor="page" w:x="8875" w:y="710" w:anchorLock="1"/>
        <w:shd w:val="solid" w:color="FFFFFF" w:fill="FFFFFF"/>
        <w:tabs>
          <w:tab w:val="left" w:pos="363"/>
        </w:tabs>
        <w:spacing w:line="184" w:lineRule="exact"/>
        <w:rPr>
          <w:rFonts w:ascii="Georgia" w:hAnsi="Georgia"/>
          <w:sz w:val="14"/>
          <w:szCs w:val="14"/>
        </w:rPr>
      </w:pPr>
      <w:r w:rsidRPr="00A527BC">
        <w:rPr>
          <w:rFonts w:ascii="Georgia" w:hAnsi="Georgia"/>
          <w:sz w:val="14"/>
          <w:szCs w:val="14"/>
        </w:rPr>
        <w:t>für Diakonie</w:t>
      </w:r>
      <w:r w:rsidR="000423F5" w:rsidRPr="00A527BC">
        <w:rPr>
          <w:rFonts w:ascii="Georgia" w:hAnsi="Georgia"/>
          <w:sz w:val="14"/>
          <w:szCs w:val="14"/>
        </w:rPr>
        <w:t xml:space="preserve"> </w:t>
      </w:r>
      <w:r w:rsidRPr="00A527BC">
        <w:rPr>
          <w:rFonts w:ascii="Georgia" w:hAnsi="Georgia"/>
          <w:sz w:val="14"/>
          <w:szCs w:val="14"/>
        </w:rPr>
        <w:t>und Entwicklung e.V.</w:t>
      </w:r>
    </w:p>
    <w:p w:rsidR="00873199" w:rsidRPr="00A527BC" w:rsidRDefault="00873199" w:rsidP="00873199">
      <w:pPr>
        <w:framePr w:w="2325" w:h="14742" w:hRule="exact" w:hSpace="181" w:wrap="around" w:vAnchor="page" w:hAnchor="page" w:x="8875" w:y="710" w:anchorLock="1"/>
        <w:shd w:val="solid" w:color="FFFFFF" w:fill="FFFFFF"/>
        <w:tabs>
          <w:tab w:val="left" w:pos="363"/>
        </w:tabs>
        <w:spacing w:line="92" w:lineRule="exact"/>
        <w:ind w:left="363" w:hanging="363"/>
        <w:rPr>
          <w:rFonts w:ascii="Georgia" w:hAnsi="Georgia"/>
          <w:sz w:val="14"/>
          <w:szCs w:val="14"/>
        </w:rPr>
      </w:pPr>
    </w:p>
    <w:p w:rsidR="00561F3E" w:rsidRPr="002773DB" w:rsidRDefault="00561F3E" w:rsidP="003B4E12">
      <w:pPr>
        <w:framePr w:w="2325" w:h="14742" w:hRule="exact" w:hSpace="181" w:wrap="around" w:vAnchor="page" w:hAnchor="page" w:x="8875" w:y="710" w:anchorLock="1"/>
        <w:shd w:val="solid" w:color="FFFFFF" w:fill="FFFFFF"/>
        <w:tabs>
          <w:tab w:val="left" w:pos="363"/>
        </w:tabs>
        <w:spacing w:line="184" w:lineRule="exact"/>
        <w:rPr>
          <w:rFonts w:ascii="Georgia" w:hAnsi="Georgia"/>
          <w:sz w:val="14"/>
          <w:szCs w:val="14"/>
          <w:lang w:val="en-GB"/>
        </w:rPr>
      </w:pPr>
      <w:r w:rsidRPr="002773DB">
        <w:rPr>
          <w:rFonts w:ascii="Georgia" w:hAnsi="Georgia"/>
          <w:sz w:val="14"/>
          <w:szCs w:val="14"/>
          <w:lang w:val="en-GB"/>
        </w:rPr>
        <w:t>Caroline-</w:t>
      </w:r>
      <w:proofErr w:type="spellStart"/>
      <w:r w:rsidRPr="002773DB">
        <w:rPr>
          <w:rFonts w:ascii="Georgia" w:hAnsi="Georgia"/>
          <w:sz w:val="14"/>
          <w:szCs w:val="14"/>
          <w:lang w:val="en-GB"/>
        </w:rPr>
        <w:t>Michaelis</w:t>
      </w:r>
      <w:proofErr w:type="spellEnd"/>
      <w:r w:rsidRPr="002773DB">
        <w:rPr>
          <w:rFonts w:ascii="Georgia" w:hAnsi="Georgia"/>
          <w:sz w:val="14"/>
          <w:szCs w:val="14"/>
          <w:lang w:val="en-GB"/>
        </w:rPr>
        <w:t>-</w:t>
      </w:r>
      <w:proofErr w:type="spellStart"/>
      <w:r w:rsidRPr="002773DB">
        <w:rPr>
          <w:rFonts w:ascii="Georgia" w:hAnsi="Georgia"/>
          <w:sz w:val="14"/>
          <w:szCs w:val="14"/>
          <w:lang w:val="en-GB"/>
        </w:rPr>
        <w:t>Straße</w:t>
      </w:r>
      <w:proofErr w:type="spellEnd"/>
      <w:r w:rsidRPr="002773DB">
        <w:rPr>
          <w:rFonts w:ascii="Georgia" w:hAnsi="Georgia"/>
          <w:sz w:val="14"/>
          <w:szCs w:val="14"/>
          <w:lang w:val="en-GB"/>
        </w:rPr>
        <w:t xml:space="preserve"> 1</w:t>
      </w:r>
    </w:p>
    <w:p w:rsidR="00561F3E" w:rsidRPr="002773DB" w:rsidRDefault="00561F3E" w:rsidP="003B4E12">
      <w:pPr>
        <w:framePr w:w="2325" w:h="14742" w:hRule="exact" w:hSpace="181" w:wrap="around" w:vAnchor="page" w:hAnchor="page" w:x="8875" w:y="710" w:anchorLock="1"/>
        <w:shd w:val="solid" w:color="FFFFFF" w:fill="FFFFFF"/>
        <w:tabs>
          <w:tab w:val="left" w:pos="363"/>
        </w:tabs>
        <w:spacing w:line="184" w:lineRule="exact"/>
        <w:rPr>
          <w:rFonts w:ascii="Georgia" w:hAnsi="Georgia"/>
          <w:sz w:val="14"/>
          <w:szCs w:val="14"/>
          <w:lang w:val="en-GB"/>
        </w:rPr>
      </w:pPr>
      <w:r w:rsidRPr="002773DB">
        <w:rPr>
          <w:rFonts w:ascii="Georgia" w:hAnsi="Georgia"/>
          <w:sz w:val="14"/>
          <w:szCs w:val="14"/>
          <w:lang w:val="en-GB"/>
        </w:rPr>
        <w:t>10115 Berlin</w:t>
      </w:r>
    </w:p>
    <w:tbl>
      <w:tblPr>
        <w:tblStyle w:val="Tabellenraster"/>
        <w:tblW w:w="2325"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25"/>
      </w:tblGrid>
      <w:tr w:rsidR="00561F3E" w:rsidRPr="002773DB" w:rsidTr="000423F5">
        <w:trPr>
          <w:trHeight w:hRule="exact" w:val="198"/>
        </w:trPr>
        <w:tc>
          <w:tcPr>
            <w:tcW w:w="1801" w:type="dxa"/>
            <w:tcBorders>
              <w:bottom w:val="single" w:sz="2" w:space="0" w:color="auto"/>
            </w:tcBorders>
            <w:tcMar>
              <w:left w:w="0" w:type="dxa"/>
              <w:right w:w="0" w:type="dxa"/>
            </w:tcMar>
          </w:tcPr>
          <w:p w:rsidR="00561F3E" w:rsidRPr="002773DB" w:rsidRDefault="00561F3E" w:rsidP="003B4E12">
            <w:pPr>
              <w:framePr w:w="2325" w:h="14742" w:hRule="exact" w:hSpace="181" w:wrap="around" w:vAnchor="page" w:hAnchor="page" w:x="8875" w:y="710" w:anchorLock="1"/>
              <w:tabs>
                <w:tab w:val="left" w:pos="363"/>
              </w:tabs>
              <w:spacing w:line="184" w:lineRule="exact"/>
              <w:rPr>
                <w:rFonts w:ascii="Georgia" w:hAnsi="Georgia"/>
                <w:sz w:val="14"/>
                <w:szCs w:val="14"/>
                <w:lang w:val="en-GB"/>
              </w:rPr>
            </w:pPr>
          </w:p>
        </w:tc>
      </w:tr>
      <w:tr w:rsidR="00561F3E" w:rsidRPr="002773DB" w:rsidTr="000423F5">
        <w:trPr>
          <w:trHeight w:hRule="exact" w:val="85"/>
        </w:trPr>
        <w:tc>
          <w:tcPr>
            <w:tcW w:w="1801" w:type="dxa"/>
            <w:tcBorders>
              <w:top w:val="single" w:sz="2" w:space="0" w:color="auto"/>
              <w:bottom w:val="nil"/>
            </w:tcBorders>
            <w:tcMar>
              <w:left w:w="0" w:type="dxa"/>
              <w:right w:w="0" w:type="dxa"/>
            </w:tcMar>
          </w:tcPr>
          <w:p w:rsidR="00561F3E" w:rsidRPr="002773DB" w:rsidRDefault="00561F3E" w:rsidP="003B4E12">
            <w:pPr>
              <w:framePr w:w="2325" w:h="14742" w:hRule="exact" w:hSpace="181" w:wrap="around" w:vAnchor="page" w:hAnchor="page" w:x="8875" w:y="710" w:anchorLock="1"/>
              <w:tabs>
                <w:tab w:val="left" w:pos="363"/>
              </w:tabs>
              <w:spacing w:line="184" w:lineRule="exact"/>
              <w:rPr>
                <w:rFonts w:ascii="Georgia" w:hAnsi="Georgia"/>
                <w:sz w:val="14"/>
                <w:szCs w:val="14"/>
                <w:lang w:val="en-GB"/>
              </w:rPr>
            </w:pPr>
          </w:p>
        </w:tc>
      </w:tr>
    </w:tbl>
    <w:p w:rsidR="00B75F29" w:rsidRPr="002773DB" w:rsidRDefault="00B47A95" w:rsidP="003B4E12">
      <w:pPr>
        <w:framePr w:w="2325" w:h="14742" w:hRule="exact" w:hSpace="181" w:wrap="around" w:vAnchor="page" w:hAnchor="page" w:x="8875" w:y="710" w:anchorLock="1"/>
        <w:shd w:val="solid" w:color="FFFFFF" w:fill="FFFFFF"/>
        <w:tabs>
          <w:tab w:val="left" w:pos="363"/>
        </w:tabs>
        <w:spacing w:line="184" w:lineRule="exact"/>
        <w:rPr>
          <w:rFonts w:ascii="Georgia" w:hAnsi="Georgia"/>
          <w:sz w:val="14"/>
          <w:szCs w:val="14"/>
          <w:lang w:val="en-GB"/>
        </w:rPr>
      </w:pPr>
      <w:r w:rsidRPr="002773DB">
        <w:rPr>
          <w:rFonts w:ascii="Georgia" w:hAnsi="Georgia"/>
          <w:sz w:val="14"/>
          <w:szCs w:val="14"/>
          <w:lang w:val="en-GB"/>
        </w:rPr>
        <w:t>Bank für Kirche und Diakonie</w:t>
      </w:r>
    </w:p>
    <w:p w:rsidR="00721907" w:rsidRPr="002773DB" w:rsidRDefault="001F4DFF" w:rsidP="003B4E12">
      <w:pPr>
        <w:framePr w:w="2325" w:h="14742" w:hRule="exact" w:hSpace="181" w:wrap="around" w:vAnchor="page" w:hAnchor="page" w:x="8875" w:y="710" w:anchorLock="1"/>
        <w:shd w:val="solid" w:color="FFFFFF" w:fill="FFFFFF"/>
        <w:tabs>
          <w:tab w:val="left" w:pos="363"/>
        </w:tabs>
        <w:spacing w:line="184" w:lineRule="exact"/>
        <w:rPr>
          <w:rFonts w:ascii="Georgia" w:hAnsi="Georgia"/>
          <w:sz w:val="14"/>
          <w:szCs w:val="14"/>
          <w:lang w:val="en-GB"/>
        </w:rPr>
      </w:pPr>
      <w:r w:rsidRPr="002773DB">
        <w:rPr>
          <w:rFonts w:ascii="Georgia" w:hAnsi="Georgia"/>
          <w:sz w:val="14"/>
          <w:szCs w:val="14"/>
          <w:lang w:val="en-GB"/>
        </w:rPr>
        <w:t xml:space="preserve">IBAN </w:t>
      </w:r>
      <w:r w:rsidR="00C654FE" w:rsidRPr="002773DB">
        <w:rPr>
          <w:rFonts w:ascii="Georgia" w:hAnsi="Georgia"/>
          <w:sz w:val="14"/>
          <w:szCs w:val="14"/>
          <w:lang w:val="en-GB"/>
        </w:rPr>
        <w:t>DE10100610060500500500</w:t>
      </w:r>
    </w:p>
    <w:p w:rsidR="001F4DFF" w:rsidRPr="002773DB" w:rsidRDefault="001F4DFF" w:rsidP="003B4E12">
      <w:pPr>
        <w:framePr w:w="2325" w:h="14742" w:hRule="exact" w:hSpace="181" w:wrap="around" w:vAnchor="page" w:hAnchor="page" w:x="8875" w:y="710" w:anchorLock="1"/>
        <w:shd w:val="solid" w:color="FFFFFF" w:fill="FFFFFF"/>
        <w:tabs>
          <w:tab w:val="left" w:pos="363"/>
        </w:tabs>
        <w:spacing w:line="184" w:lineRule="exact"/>
        <w:rPr>
          <w:rFonts w:ascii="Georgia" w:hAnsi="Georgia"/>
          <w:sz w:val="14"/>
          <w:szCs w:val="14"/>
          <w:lang w:val="en-GB"/>
        </w:rPr>
      </w:pPr>
      <w:r w:rsidRPr="002773DB">
        <w:rPr>
          <w:rFonts w:ascii="Georgia" w:hAnsi="Georgia"/>
          <w:sz w:val="14"/>
          <w:szCs w:val="14"/>
          <w:lang w:val="en-GB"/>
        </w:rPr>
        <w:t xml:space="preserve">BIC </w:t>
      </w:r>
      <w:r w:rsidR="00C654FE" w:rsidRPr="002773DB">
        <w:rPr>
          <w:rFonts w:ascii="Georgia" w:hAnsi="Georgia"/>
          <w:sz w:val="14"/>
          <w:szCs w:val="14"/>
          <w:lang w:val="en-GB"/>
        </w:rPr>
        <w:t>GENODED1KDB</w:t>
      </w:r>
    </w:p>
    <w:tbl>
      <w:tblPr>
        <w:tblStyle w:val="Tabellenraster"/>
        <w:tblW w:w="2325"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25"/>
      </w:tblGrid>
      <w:tr w:rsidR="00561F3E" w:rsidRPr="002773DB" w:rsidTr="00CB3BE7">
        <w:trPr>
          <w:trHeight w:hRule="exact" w:val="113"/>
        </w:trPr>
        <w:tc>
          <w:tcPr>
            <w:tcW w:w="2325" w:type="dxa"/>
            <w:tcBorders>
              <w:bottom w:val="single" w:sz="2" w:space="0" w:color="auto"/>
            </w:tcBorders>
            <w:tcMar>
              <w:left w:w="0" w:type="dxa"/>
              <w:right w:w="0" w:type="dxa"/>
            </w:tcMar>
          </w:tcPr>
          <w:p w:rsidR="00561F3E" w:rsidRPr="002773DB" w:rsidRDefault="00561F3E" w:rsidP="003B4E12">
            <w:pPr>
              <w:framePr w:w="2325" w:h="14742" w:hRule="exact" w:hSpace="181" w:wrap="around" w:vAnchor="page" w:hAnchor="page" w:x="8875" w:y="710" w:anchorLock="1"/>
              <w:tabs>
                <w:tab w:val="left" w:pos="363"/>
              </w:tabs>
              <w:spacing w:line="184" w:lineRule="exact"/>
              <w:rPr>
                <w:rFonts w:ascii="Georgia" w:hAnsi="Georgia"/>
                <w:sz w:val="14"/>
                <w:szCs w:val="14"/>
                <w:lang w:val="en-GB"/>
              </w:rPr>
            </w:pPr>
          </w:p>
        </w:tc>
      </w:tr>
      <w:tr w:rsidR="00561F3E" w:rsidRPr="002773DB" w:rsidTr="00CB3BE7">
        <w:trPr>
          <w:trHeight w:hRule="exact" w:val="113"/>
        </w:trPr>
        <w:tc>
          <w:tcPr>
            <w:tcW w:w="2325" w:type="dxa"/>
            <w:tcBorders>
              <w:top w:val="single" w:sz="2" w:space="0" w:color="auto"/>
              <w:bottom w:val="nil"/>
            </w:tcBorders>
            <w:tcMar>
              <w:left w:w="0" w:type="dxa"/>
              <w:right w:w="0" w:type="dxa"/>
            </w:tcMar>
          </w:tcPr>
          <w:p w:rsidR="00561F3E" w:rsidRPr="002773DB" w:rsidRDefault="00561F3E" w:rsidP="003B4E12">
            <w:pPr>
              <w:framePr w:w="2325" w:h="14742" w:hRule="exact" w:hSpace="181" w:wrap="around" w:vAnchor="page" w:hAnchor="page" w:x="8875" w:y="710" w:anchorLock="1"/>
              <w:tabs>
                <w:tab w:val="left" w:pos="363"/>
              </w:tabs>
              <w:spacing w:line="182" w:lineRule="exact"/>
              <w:rPr>
                <w:rFonts w:ascii="Georgia" w:hAnsi="Georgia"/>
                <w:sz w:val="14"/>
                <w:szCs w:val="14"/>
                <w:lang w:val="en-GB"/>
              </w:rPr>
            </w:pPr>
          </w:p>
        </w:tc>
      </w:tr>
    </w:tbl>
    <w:p w:rsidR="000423F5" w:rsidRPr="002773DB" w:rsidRDefault="000423F5" w:rsidP="003B4E12">
      <w:pPr>
        <w:framePr w:w="2325" w:h="14742" w:hRule="exact" w:hSpace="181" w:wrap="around" w:vAnchor="page" w:hAnchor="page" w:x="8875" w:y="710" w:anchorLock="1"/>
        <w:shd w:val="solid" w:color="FFFFFF" w:fill="FFFFFF"/>
        <w:tabs>
          <w:tab w:val="left" w:pos="363"/>
        </w:tabs>
        <w:rPr>
          <w:rFonts w:ascii="Georgia" w:hAnsi="Georgia"/>
          <w:sz w:val="16"/>
          <w:szCs w:val="16"/>
          <w:lang w:val="en-GB"/>
        </w:rPr>
      </w:pPr>
    </w:p>
    <w:p w:rsidR="00EF2D5F" w:rsidRPr="002773DB" w:rsidRDefault="00EF2D5F" w:rsidP="003B4E12">
      <w:pPr>
        <w:framePr w:w="2325" w:h="14742" w:hRule="exact" w:hSpace="181" w:wrap="around" w:vAnchor="page" w:hAnchor="page" w:x="8875" w:y="710" w:anchorLock="1"/>
        <w:shd w:val="solid" w:color="FFFFFF" w:fill="FFFFFF"/>
        <w:tabs>
          <w:tab w:val="left" w:pos="363"/>
        </w:tabs>
        <w:rPr>
          <w:rFonts w:ascii="Georgia" w:hAnsi="Georgia"/>
          <w:sz w:val="16"/>
          <w:szCs w:val="16"/>
          <w:lang w:val="en-GB"/>
        </w:rPr>
      </w:pPr>
    </w:p>
    <w:p w:rsidR="00EF2D5F" w:rsidRPr="002773DB" w:rsidRDefault="00EF2D5F" w:rsidP="003B4E12">
      <w:pPr>
        <w:framePr w:w="2325" w:h="14742" w:hRule="exact" w:hSpace="181" w:wrap="around" w:vAnchor="page" w:hAnchor="page" w:x="8875" w:y="710" w:anchorLock="1"/>
        <w:shd w:val="solid" w:color="FFFFFF" w:fill="FFFFFF"/>
        <w:tabs>
          <w:tab w:val="left" w:pos="363"/>
        </w:tabs>
        <w:rPr>
          <w:rFonts w:ascii="Georgia" w:hAnsi="Georgia"/>
          <w:sz w:val="16"/>
          <w:szCs w:val="16"/>
          <w:lang w:val="en-GB"/>
        </w:rPr>
      </w:pPr>
    </w:p>
    <w:p w:rsidR="00EF2D5F" w:rsidRPr="002773DB" w:rsidRDefault="00EF2D5F" w:rsidP="003B4E12">
      <w:pPr>
        <w:framePr w:w="2325" w:h="14742" w:hRule="exact" w:hSpace="181" w:wrap="around" w:vAnchor="page" w:hAnchor="page" w:x="8875" w:y="710" w:anchorLock="1"/>
        <w:shd w:val="solid" w:color="FFFFFF" w:fill="FFFFFF"/>
        <w:tabs>
          <w:tab w:val="left" w:pos="363"/>
        </w:tabs>
        <w:rPr>
          <w:rFonts w:ascii="Georgia" w:hAnsi="Georgia"/>
          <w:sz w:val="16"/>
          <w:szCs w:val="16"/>
          <w:lang w:val="en-GB"/>
        </w:rPr>
      </w:pPr>
      <w:r w:rsidRPr="002773DB">
        <w:rPr>
          <w:rFonts w:ascii="Georgia" w:hAnsi="Georgia"/>
          <w:noProof/>
          <w:sz w:val="16"/>
          <w:szCs w:val="16"/>
        </w:rPr>
        <w:drawing>
          <wp:inline distT="0" distB="0" distL="0" distR="0" wp14:anchorId="67BBF3BD" wp14:editId="30829405">
            <wp:extent cx="704850" cy="215900"/>
            <wp:effectExtent l="19050" t="0" r="0" b="0"/>
            <wp:docPr id="1" name="Bild 1" descr="Logo Act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talliance"/>
                    <pic:cNvPicPr>
                      <a:picLocks noChangeAspect="1" noChangeArrowheads="1"/>
                    </pic:cNvPicPr>
                  </pic:nvPicPr>
                  <pic:blipFill>
                    <a:blip r:embed="rId9" cstate="print"/>
                    <a:srcRect/>
                    <a:stretch>
                      <a:fillRect/>
                    </a:stretch>
                  </pic:blipFill>
                  <pic:spPr bwMode="auto">
                    <a:xfrm>
                      <a:off x="0" y="0"/>
                      <a:ext cx="704850" cy="215900"/>
                    </a:xfrm>
                    <a:prstGeom prst="rect">
                      <a:avLst/>
                    </a:prstGeom>
                    <a:noFill/>
                    <a:ln w="9525">
                      <a:noFill/>
                      <a:miter lim="800000"/>
                      <a:headEnd/>
                      <a:tailEnd/>
                    </a:ln>
                  </pic:spPr>
                </pic:pic>
              </a:graphicData>
            </a:graphic>
          </wp:inline>
        </w:drawing>
      </w:r>
    </w:p>
    <w:p w:rsidR="00AF4A04" w:rsidRPr="002773DB" w:rsidRDefault="009D6890" w:rsidP="00A56CC4">
      <w:pPr>
        <w:spacing w:line="280" w:lineRule="exact"/>
        <w:rPr>
          <w:rFonts w:ascii="Georgia" w:hAnsi="Georgia"/>
          <w:sz w:val="20"/>
          <w:szCs w:val="20"/>
          <w:lang w:val="en-GB"/>
        </w:rPr>
      </w:pPr>
      <w:r>
        <w:rPr>
          <w:rFonts w:ascii="Georgia" w:hAnsi="Georgia"/>
          <w:sz w:val="20"/>
          <w:szCs w:val="20"/>
          <w:lang w:val="en-GB"/>
        </w:rPr>
        <w:t>(translated version)</w:t>
      </w:r>
    </w:p>
    <w:p w:rsidR="000D292D" w:rsidRPr="002773DB" w:rsidRDefault="000D292D" w:rsidP="00A56CC4">
      <w:pPr>
        <w:spacing w:line="280" w:lineRule="exact"/>
        <w:rPr>
          <w:rFonts w:ascii="Georgia" w:hAnsi="Georgia"/>
          <w:sz w:val="20"/>
          <w:szCs w:val="20"/>
          <w:lang w:val="en-GB"/>
        </w:rPr>
      </w:pPr>
    </w:p>
    <w:p w:rsidR="009D6890" w:rsidRDefault="009D6890" w:rsidP="009E73C2">
      <w:pPr>
        <w:rPr>
          <w:rFonts w:ascii="Georgia" w:hAnsi="Georgia"/>
          <w:lang w:val="en-GB"/>
        </w:rPr>
      </w:pPr>
    </w:p>
    <w:p w:rsidR="009E73C2" w:rsidRPr="008431F3" w:rsidRDefault="000D5A3C" w:rsidP="009E73C2">
      <w:pPr>
        <w:rPr>
          <w:rFonts w:ascii="Georgia" w:hAnsi="Georgia"/>
          <w:lang w:val="en-GB"/>
        </w:rPr>
      </w:pPr>
      <w:r w:rsidRPr="008431F3">
        <w:rPr>
          <w:rFonts w:ascii="Georgia" w:hAnsi="Georgia"/>
          <w:lang w:val="en-GB"/>
        </w:rPr>
        <w:t>European Commission plans to restructure EU budget post-2020</w:t>
      </w:r>
    </w:p>
    <w:p w:rsidR="003B04D0" w:rsidRPr="008431F3" w:rsidRDefault="003B04D0" w:rsidP="00E30DAE">
      <w:pPr>
        <w:rPr>
          <w:rFonts w:ascii="Georgia" w:hAnsi="Georgia"/>
          <w:sz w:val="20"/>
          <w:szCs w:val="20"/>
          <w:lang w:val="en-GB"/>
        </w:rPr>
      </w:pPr>
    </w:p>
    <w:p w:rsidR="000D292D" w:rsidRPr="008431F3" w:rsidRDefault="006A168C" w:rsidP="00A56CC4">
      <w:pPr>
        <w:spacing w:line="280" w:lineRule="exact"/>
        <w:rPr>
          <w:rFonts w:ascii="Georgia" w:hAnsi="Georgia"/>
          <w:sz w:val="20"/>
          <w:szCs w:val="20"/>
          <w:lang w:val="en-GB"/>
        </w:rPr>
      </w:pPr>
      <w:r w:rsidRPr="008431F3">
        <w:rPr>
          <w:rFonts w:ascii="Georgia" w:hAnsi="Georgia"/>
          <w:b/>
          <w:sz w:val="32"/>
          <w:szCs w:val="32"/>
          <w:lang w:val="en-GB"/>
        </w:rPr>
        <w:t>New external financing instrument weakens civil crisis prevention</w:t>
      </w:r>
    </w:p>
    <w:p w:rsidR="0046610B" w:rsidRPr="008431F3" w:rsidRDefault="0046610B" w:rsidP="003B04D0">
      <w:pPr>
        <w:rPr>
          <w:rFonts w:ascii="Georgia" w:hAnsi="Georgia"/>
          <w:b/>
          <w:sz w:val="20"/>
          <w:szCs w:val="20"/>
          <w:lang w:val="en-GB"/>
        </w:rPr>
      </w:pPr>
    </w:p>
    <w:p w:rsidR="003B04D0" w:rsidRPr="008431F3" w:rsidRDefault="00E054CB" w:rsidP="003B04D0">
      <w:pPr>
        <w:rPr>
          <w:rFonts w:ascii="Georgia" w:hAnsi="Georgia"/>
          <w:b/>
          <w:sz w:val="20"/>
          <w:szCs w:val="20"/>
          <w:lang w:val="en-GB"/>
        </w:rPr>
      </w:pPr>
      <w:r w:rsidRPr="008431F3">
        <w:rPr>
          <w:rFonts w:ascii="Georgia" w:hAnsi="Georgia"/>
          <w:b/>
          <w:sz w:val="20"/>
          <w:szCs w:val="20"/>
          <w:lang w:val="en-GB"/>
        </w:rPr>
        <w:t>Br</w:t>
      </w:r>
      <w:r w:rsidR="000D5A3C" w:rsidRPr="008431F3">
        <w:rPr>
          <w:rFonts w:ascii="Georgia" w:hAnsi="Georgia"/>
          <w:b/>
          <w:sz w:val="20"/>
          <w:szCs w:val="20"/>
          <w:lang w:val="en-GB"/>
        </w:rPr>
        <w:t>ussels</w:t>
      </w:r>
      <w:r w:rsidRPr="008431F3">
        <w:rPr>
          <w:rFonts w:ascii="Georgia" w:hAnsi="Georgia"/>
          <w:b/>
          <w:sz w:val="20"/>
          <w:szCs w:val="20"/>
          <w:lang w:val="en-GB"/>
        </w:rPr>
        <w:t>/Berlin, 1</w:t>
      </w:r>
      <w:r w:rsidR="00A527BC">
        <w:rPr>
          <w:rFonts w:ascii="Georgia" w:hAnsi="Georgia"/>
          <w:b/>
          <w:sz w:val="20"/>
          <w:szCs w:val="20"/>
          <w:lang w:val="en-GB"/>
        </w:rPr>
        <w:t>2</w:t>
      </w:r>
      <w:r w:rsidR="003B04D0" w:rsidRPr="008431F3">
        <w:rPr>
          <w:rFonts w:ascii="Georgia" w:hAnsi="Georgia"/>
          <w:b/>
          <w:sz w:val="20"/>
          <w:szCs w:val="20"/>
          <w:lang w:val="en-GB"/>
        </w:rPr>
        <w:t xml:space="preserve"> </w:t>
      </w:r>
      <w:r w:rsidR="00BB2431" w:rsidRPr="008431F3">
        <w:rPr>
          <w:rFonts w:ascii="Georgia" w:hAnsi="Georgia"/>
          <w:b/>
          <w:sz w:val="20"/>
          <w:szCs w:val="20"/>
          <w:lang w:val="en-GB"/>
        </w:rPr>
        <w:t>Jun</w:t>
      </w:r>
      <w:r w:rsidR="000D5A3C" w:rsidRPr="008431F3">
        <w:rPr>
          <w:rFonts w:ascii="Georgia" w:hAnsi="Georgia"/>
          <w:b/>
          <w:sz w:val="20"/>
          <w:szCs w:val="20"/>
          <w:lang w:val="en-GB"/>
        </w:rPr>
        <w:t>e</w:t>
      </w:r>
      <w:r w:rsidR="00BB2431" w:rsidRPr="008431F3">
        <w:rPr>
          <w:rFonts w:ascii="Georgia" w:hAnsi="Georgia"/>
          <w:b/>
          <w:sz w:val="20"/>
          <w:szCs w:val="20"/>
          <w:lang w:val="en-GB"/>
        </w:rPr>
        <w:t xml:space="preserve"> </w:t>
      </w:r>
      <w:r w:rsidR="003B04D0" w:rsidRPr="008431F3">
        <w:rPr>
          <w:rFonts w:ascii="Georgia" w:hAnsi="Georgia"/>
          <w:b/>
          <w:sz w:val="20"/>
          <w:szCs w:val="20"/>
          <w:lang w:val="en-GB"/>
        </w:rPr>
        <w:t>201</w:t>
      </w:r>
      <w:r w:rsidR="00BB2431" w:rsidRPr="008431F3">
        <w:rPr>
          <w:rFonts w:ascii="Georgia" w:hAnsi="Georgia"/>
          <w:b/>
          <w:sz w:val="20"/>
          <w:szCs w:val="20"/>
          <w:lang w:val="en-GB"/>
        </w:rPr>
        <w:t>8</w:t>
      </w:r>
    </w:p>
    <w:p w:rsidR="00BD6257" w:rsidRPr="008431F3" w:rsidRDefault="00BD6257" w:rsidP="003B04D0">
      <w:pPr>
        <w:rPr>
          <w:rFonts w:ascii="Georgia" w:hAnsi="Georgia"/>
          <w:b/>
          <w:sz w:val="20"/>
          <w:szCs w:val="20"/>
          <w:lang w:val="en-GB"/>
        </w:rPr>
      </w:pPr>
    </w:p>
    <w:p w:rsidR="00BB2431" w:rsidRPr="00A112CE" w:rsidRDefault="00CF6A1D" w:rsidP="008F64BB">
      <w:pPr>
        <w:rPr>
          <w:rFonts w:ascii="Georgia" w:hAnsi="Georgia"/>
          <w:sz w:val="20"/>
          <w:szCs w:val="20"/>
          <w:lang w:val="en-GB"/>
        </w:rPr>
      </w:pPr>
      <w:r w:rsidRPr="008431F3">
        <w:rPr>
          <w:rFonts w:ascii="Georgia" w:hAnsi="Georgia"/>
          <w:sz w:val="20"/>
          <w:szCs w:val="20"/>
          <w:lang w:val="en-GB"/>
        </w:rPr>
        <w:t xml:space="preserve">On 2 May 2018, Commission President </w:t>
      </w:r>
      <w:r w:rsidRPr="00A112CE">
        <w:rPr>
          <w:rFonts w:ascii="Georgia" w:hAnsi="Georgia"/>
          <w:sz w:val="20"/>
          <w:szCs w:val="20"/>
          <w:lang w:val="en-GB"/>
        </w:rPr>
        <w:t>J</w:t>
      </w:r>
      <w:r w:rsidR="00BD6257" w:rsidRPr="00A112CE">
        <w:rPr>
          <w:rFonts w:ascii="Georgia" w:hAnsi="Georgia"/>
          <w:sz w:val="20"/>
          <w:szCs w:val="20"/>
          <w:lang w:val="en-GB"/>
        </w:rPr>
        <w:t xml:space="preserve">ean-Claude Juncker </w:t>
      </w:r>
      <w:r w:rsidRPr="00A112CE">
        <w:rPr>
          <w:rFonts w:ascii="Georgia" w:hAnsi="Georgia"/>
          <w:sz w:val="20"/>
          <w:szCs w:val="20"/>
          <w:lang w:val="en-GB"/>
        </w:rPr>
        <w:t>a</w:t>
      </w:r>
      <w:r w:rsidR="00BD6257" w:rsidRPr="00A112CE">
        <w:rPr>
          <w:rFonts w:ascii="Georgia" w:hAnsi="Georgia"/>
          <w:sz w:val="20"/>
          <w:szCs w:val="20"/>
          <w:lang w:val="en-GB"/>
        </w:rPr>
        <w:t xml:space="preserve">nd </w:t>
      </w:r>
      <w:r w:rsidRPr="00A112CE">
        <w:rPr>
          <w:rFonts w:ascii="Georgia" w:hAnsi="Georgia"/>
          <w:sz w:val="20"/>
          <w:szCs w:val="20"/>
          <w:lang w:val="en-GB"/>
        </w:rPr>
        <w:t xml:space="preserve">Budget Commissioner </w:t>
      </w:r>
      <w:r w:rsidR="00BD6257" w:rsidRPr="00A112CE">
        <w:rPr>
          <w:rFonts w:ascii="Georgia" w:hAnsi="Georgia"/>
          <w:sz w:val="20"/>
          <w:szCs w:val="20"/>
          <w:lang w:val="en-GB"/>
        </w:rPr>
        <w:t xml:space="preserve">Günther Oettinger </w:t>
      </w:r>
      <w:r w:rsidRPr="00A112CE">
        <w:rPr>
          <w:rFonts w:ascii="Georgia" w:hAnsi="Georgia"/>
          <w:sz w:val="20"/>
          <w:szCs w:val="20"/>
          <w:lang w:val="en-GB"/>
        </w:rPr>
        <w:t xml:space="preserve">unveiled their proposals for the next EU budget post-2020. The figures sparked </w:t>
      </w:r>
      <w:r w:rsidR="008F64BB" w:rsidRPr="00A112CE">
        <w:rPr>
          <w:rFonts w:ascii="Georgia" w:hAnsi="Georgia"/>
          <w:sz w:val="20"/>
          <w:szCs w:val="20"/>
          <w:lang w:val="en-GB"/>
        </w:rPr>
        <w:t xml:space="preserve">heated debate in the European Parliament, partly because </w:t>
      </w:r>
      <w:r w:rsidR="00225EA5" w:rsidRPr="00A112CE">
        <w:rPr>
          <w:rFonts w:ascii="Georgia" w:hAnsi="Georgia"/>
          <w:sz w:val="20"/>
          <w:szCs w:val="20"/>
          <w:lang w:val="en-GB"/>
        </w:rPr>
        <w:t xml:space="preserve">the </w:t>
      </w:r>
      <w:r w:rsidR="00396CAF" w:rsidRPr="00A112CE">
        <w:rPr>
          <w:rFonts w:ascii="Georgia" w:hAnsi="Georgia"/>
          <w:sz w:val="20"/>
          <w:szCs w:val="20"/>
          <w:lang w:val="en-GB"/>
        </w:rPr>
        <w:t>method used for their calculation</w:t>
      </w:r>
      <w:r w:rsidR="00E87D61" w:rsidRPr="00A112CE">
        <w:rPr>
          <w:rFonts w:ascii="Georgia" w:hAnsi="Georgia"/>
          <w:sz w:val="20"/>
          <w:szCs w:val="20"/>
          <w:lang w:val="en-GB"/>
        </w:rPr>
        <w:t xml:space="preserve"> was very different</w:t>
      </w:r>
      <w:r w:rsidR="008F64BB" w:rsidRPr="00A112CE">
        <w:rPr>
          <w:rFonts w:ascii="Georgia" w:hAnsi="Georgia"/>
          <w:sz w:val="20"/>
          <w:szCs w:val="20"/>
          <w:lang w:val="en-GB"/>
        </w:rPr>
        <w:t xml:space="preserve"> than before. On 12-14 June, the Commission </w:t>
      </w:r>
      <w:r w:rsidR="00E87D61" w:rsidRPr="00A112CE">
        <w:rPr>
          <w:rFonts w:ascii="Georgia" w:hAnsi="Georgia"/>
          <w:sz w:val="20"/>
          <w:szCs w:val="20"/>
          <w:lang w:val="en-GB"/>
        </w:rPr>
        <w:t>will publish</w:t>
      </w:r>
      <w:r w:rsidR="008F64BB" w:rsidRPr="00A112CE">
        <w:rPr>
          <w:rFonts w:ascii="Georgia" w:hAnsi="Georgia"/>
          <w:sz w:val="20"/>
          <w:szCs w:val="20"/>
          <w:lang w:val="en-GB"/>
        </w:rPr>
        <w:t xml:space="preserve"> regulations for the various policy areas with more detailed breakdowns of the figures</w:t>
      </w:r>
      <w:r w:rsidR="00490139" w:rsidRPr="00A112CE">
        <w:rPr>
          <w:rFonts w:ascii="Georgia" w:hAnsi="Georgia"/>
          <w:sz w:val="20"/>
          <w:szCs w:val="20"/>
          <w:lang w:val="en-GB"/>
        </w:rPr>
        <w:t>.</w:t>
      </w:r>
      <w:r w:rsidR="00A112CE">
        <w:rPr>
          <w:rFonts w:ascii="Georgia" w:hAnsi="Georgia"/>
          <w:sz w:val="20"/>
          <w:szCs w:val="20"/>
          <w:lang w:val="en-GB"/>
        </w:rPr>
        <w:t xml:space="preserve"> </w:t>
      </w:r>
      <w:r w:rsidR="008F64BB" w:rsidRPr="00A112CE">
        <w:rPr>
          <w:rFonts w:ascii="Georgia" w:hAnsi="Georgia"/>
          <w:sz w:val="20"/>
          <w:szCs w:val="20"/>
          <w:lang w:val="en-GB"/>
        </w:rPr>
        <w:t>In the new Multiannual Financial Framework (MFF</w:t>
      </w:r>
      <w:r w:rsidR="00A527BC">
        <w:rPr>
          <w:rFonts w:ascii="Georgia" w:hAnsi="Georgia"/>
          <w:sz w:val="20"/>
          <w:szCs w:val="20"/>
          <w:lang w:val="en-GB"/>
        </w:rPr>
        <w:t xml:space="preserve"> 2021-27</w:t>
      </w:r>
      <w:r w:rsidR="008F64BB" w:rsidRPr="00A112CE">
        <w:rPr>
          <w:rFonts w:ascii="Georgia" w:hAnsi="Georgia"/>
          <w:sz w:val="20"/>
          <w:szCs w:val="20"/>
          <w:lang w:val="en-GB"/>
        </w:rPr>
        <w:t xml:space="preserve">), the European Commission proposes </w:t>
      </w:r>
      <w:r w:rsidR="00E87D61" w:rsidRPr="00A112CE">
        <w:rPr>
          <w:rFonts w:ascii="Georgia" w:hAnsi="Georgia"/>
          <w:sz w:val="20"/>
          <w:szCs w:val="20"/>
          <w:lang w:val="en-GB"/>
        </w:rPr>
        <w:t>to merge and restructure</w:t>
      </w:r>
      <w:r w:rsidR="008F64BB" w:rsidRPr="00A112CE">
        <w:rPr>
          <w:rFonts w:ascii="Georgia" w:hAnsi="Georgia"/>
          <w:sz w:val="20"/>
          <w:szCs w:val="20"/>
          <w:lang w:val="en-GB"/>
        </w:rPr>
        <w:t xml:space="preserve"> previously </w:t>
      </w:r>
      <w:r w:rsidR="00534C5C" w:rsidRPr="00A112CE">
        <w:rPr>
          <w:rFonts w:ascii="Georgia" w:hAnsi="Georgia"/>
          <w:sz w:val="20"/>
          <w:szCs w:val="20"/>
          <w:lang w:val="en-GB"/>
        </w:rPr>
        <w:t>self-standing</w:t>
      </w:r>
      <w:r w:rsidR="008F64BB" w:rsidRPr="00A112CE">
        <w:rPr>
          <w:rFonts w:ascii="Georgia" w:hAnsi="Georgia"/>
          <w:sz w:val="20"/>
          <w:szCs w:val="20"/>
          <w:lang w:val="en-GB"/>
        </w:rPr>
        <w:t xml:space="preserve"> budget lines. </w:t>
      </w:r>
      <w:bookmarkStart w:id="2" w:name="_Hlk516578185"/>
      <w:r w:rsidR="00E87D61" w:rsidRPr="00A112CE">
        <w:rPr>
          <w:rFonts w:ascii="Georgia" w:hAnsi="Georgia"/>
          <w:sz w:val="20"/>
          <w:szCs w:val="20"/>
          <w:lang w:val="en-GB"/>
        </w:rPr>
        <w:t xml:space="preserve">As one example, a new </w:t>
      </w:r>
      <w:r w:rsidR="00534C5C" w:rsidRPr="00A112CE">
        <w:rPr>
          <w:rFonts w:ascii="Georgia" w:hAnsi="Georgia"/>
          <w:sz w:val="20"/>
          <w:szCs w:val="20"/>
          <w:lang w:val="en-GB"/>
        </w:rPr>
        <w:t>Neighbourhood, Development and International Cooperation Instrument</w:t>
      </w:r>
      <w:bookmarkEnd w:id="2"/>
      <w:r w:rsidR="00E87D61" w:rsidRPr="00A112CE">
        <w:rPr>
          <w:rFonts w:ascii="Georgia" w:hAnsi="Georgia"/>
          <w:sz w:val="20"/>
          <w:szCs w:val="20"/>
          <w:lang w:val="en-GB"/>
        </w:rPr>
        <w:t xml:space="preserve"> would replace</w:t>
      </w:r>
      <w:r w:rsidR="00534C5C" w:rsidRPr="00A112CE">
        <w:rPr>
          <w:rFonts w:ascii="Georgia" w:hAnsi="Georgia"/>
          <w:sz w:val="20"/>
          <w:szCs w:val="20"/>
          <w:lang w:val="en-GB"/>
        </w:rPr>
        <w:t xml:space="preserve"> </w:t>
      </w:r>
      <w:r w:rsidR="00A774CE" w:rsidRPr="00A112CE">
        <w:rPr>
          <w:rFonts w:ascii="Georgia" w:hAnsi="Georgia"/>
          <w:sz w:val="20"/>
          <w:szCs w:val="20"/>
          <w:lang w:val="en-GB"/>
        </w:rPr>
        <w:t>well-</w:t>
      </w:r>
      <w:r w:rsidR="00E87D61" w:rsidRPr="00A112CE">
        <w:rPr>
          <w:rFonts w:ascii="Georgia" w:hAnsi="Georgia"/>
          <w:sz w:val="20"/>
          <w:szCs w:val="20"/>
          <w:lang w:val="en-GB"/>
        </w:rPr>
        <w:t>established</w:t>
      </w:r>
      <w:r w:rsidR="00534C5C" w:rsidRPr="00A112CE">
        <w:rPr>
          <w:rFonts w:ascii="Georgia" w:hAnsi="Georgia"/>
          <w:sz w:val="20"/>
          <w:szCs w:val="20"/>
          <w:lang w:val="en-GB"/>
        </w:rPr>
        <w:t xml:space="preserve"> </w:t>
      </w:r>
      <w:r w:rsidR="00225EA5" w:rsidRPr="00A112CE">
        <w:rPr>
          <w:rFonts w:ascii="Georgia" w:hAnsi="Georgia"/>
          <w:sz w:val="20"/>
          <w:szCs w:val="20"/>
          <w:lang w:val="en-GB"/>
        </w:rPr>
        <w:t xml:space="preserve">and hitherto </w:t>
      </w:r>
      <w:r w:rsidR="009C7B04" w:rsidRPr="00A112CE">
        <w:rPr>
          <w:rFonts w:ascii="Georgia" w:hAnsi="Georgia"/>
          <w:sz w:val="20"/>
          <w:szCs w:val="20"/>
          <w:lang w:val="en-GB"/>
        </w:rPr>
        <w:t xml:space="preserve">self-standing </w:t>
      </w:r>
      <w:r w:rsidR="00E87D61" w:rsidRPr="00A112CE">
        <w:rPr>
          <w:rFonts w:ascii="Georgia" w:hAnsi="Georgia"/>
          <w:sz w:val="20"/>
          <w:szCs w:val="20"/>
          <w:lang w:val="en-GB"/>
        </w:rPr>
        <w:t>mechanisms</w:t>
      </w:r>
      <w:r w:rsidR="00534C5C" w:rsidRPr="00A112CE">
        <w:rPr>
          <w:rFonts w:ascii="Georgia" w:hAnsi="Georgia"/>
          <w:sz w:val="20"/>
          <w:szCs w:val="20"/>
          <w:lang w:val="en-GB"/>
        </w:rPr>
        <w:t xml:space="preserve"> such as the European Development Fund (EDF</w:t>
      </w:r>
      <w:r w:rsidR="009C7B04" w:rsidRPr="00A112CE">
        <w:rPr>
          <w:rFonts w:ascii="Georgia" w:hAnsi="Georgia"/>
          <w:sz w:val="20"/>
          <w:szCs w:val="20"/>
          <w:lang w:val="en-GB"/>
        </w:rPr>
        <w:t>)</w:t>
      </w:r>
      <w:r w:rsidR="00534C5C" w:rsidRPr="00A112CE">
        <w:rPr>
          <w:rFonts w:ascii="Georgia" w:hAnsi="Georgia"/>
          <w:sz w:val="20"/>
          <w:szCs w:val="20"/>
          <w:lang w:val="en-GB"/>
        </w:rPr>
        <w:t xml:space="preserve"> and the</w:t>
      </w:r>
      <w:r w:rsidR="008F64BB" w:rsidRPr="00A112CE">
        <w:rPr>
          <w:rFonts w:ascii="Georgia" w:hAnsi="Georgia"/>
          <w:sz w:val="20"/>
          <w:szCs w:val="20"/>
          <w:lang w:val="en-GB"/>
        </w:rPr>
        <w:t xml:space="preserve"> D</w:t>
      </w:r>
      <w:r w:rsidR="00BB2431" w:rsidRPr="00A112CE">
        <w:rPr>
          <w:rFonts w:ascii="Georgia" w:hAnsi="Georgia"/>
          <w:sz w:val="20"/>
          <w:szCs w:val="20"/>
          <w:lang w:val="en-GB"/>
        </w:rPr>
        <w:t>evelopment Cooperation Instrument (DCI)</w:t>
      </w:r>
      <w:r w:rsidR="008F64BB" w:rsidRPr="00A112CE">
        <w:rPr>
          <w:rFonts w:ascii="Georgia" w:hAnsi="Georgia"/>
          <w:sz w:val="20"/>
          <w:szCs w:val="20"/>
          <w:lang w:val="en-GB"/>
        </w:rPr>
        <w:t xml:space="preserve">, but also the </w:t>
      </w:r>
      <w:r w:rsidR="00534C5C" w:rsidRPr="00A112CE">
        <w:rPr>
          <w:rFonts w:ascii="Georgia" w:hAnsi="Georgia"/>
          <w:sz w:val="20"/>
          <w:szCs w:val="20"/>
          <w:lang w:val="en-GB"/>
        </w:rPr>
        <w:t>Instrument contributing to Stability and Peace</w:t>
      </w:r>
      <w:r w:rsidR="00BB2431" w:rsidRPr="00A112CE">
        <w:rPr>
          <w:rFonts w:ascii="Georgia" w:hAnsi="Georgia"/>
          <w:sz w:val="20"/>
          <w:szCs w:val="20"/>
          <w:lang w:val="en-GB"/>
        </w:rPr>
        <w:t xml:space="preserve"> (IcSP</w:t>
      </w:r>
      <w:r w:rsidR="00534C5C" w:rsidRPr="00A112CE">
        <w:rPr>
          <w:rFonts w:ascii="Georgia" w:hAnsi="Georgia"/>
          <w:sz w:val="20"/>
          <w:szCs w:val="20"/>
          <w:lang w:val="en-GB"/>
        </w:rPr>
        <w:t xml:space="preserve">) and the </w:t>
      </w:r>
      <w:bookmarkStart w:id="3" w:name="_Hlk516576741"/>
      <w:r w:rsidR="00534C5C" w:rsidRPr="00A112CE">
        <w:rPr>
          <w:rFonts w:ascii="Georgia" w:hAnsi="Georgia"/>
          <w:sz w:val="20"/>
          <w:szCs w:val="20"/>
          <w:lang w:val="en-GB"/>
        </w:rPr>
        <w:t>European Instrument for Democracy and Human Rights</w:t>
      </w:r>
      <w:r w:rsidR="00BB2431" w:rsidRPr="00A112CE">
        <w:rPr>
          <w:rFonts w:ascii="Georgia" w:hAnsi="Georgia"/>
          <w:sz w:val="20"/>
          <w:szCs w:val="20"/>
          <w:lang w:val="en-GB"/>
        </w:rPr>
        <w:t xml:space="preserve"> </w:t>
      </w:r>
      <w:bookmarkEnd w:id="3"/>
      <w:r w:rsidR="00BB2431" w:rsidRPr="00A112CE">
        <w:rPr>
          <w:rFonts w:ascii="Georgia" w:hAnsi="Georgia"/>
          <w:sz w:val="20"/>
          <w:szCs w:val="20"/>
          <w:lang w:val="en-GB"/>
        </w:rPr>
        <w:t>(EIDHR).</w:t>
      </w:r>
      <w:r w:rsidR="00C67643" w:rsidRPr="00A112CE">
        <w:rPr>
          <w:rFonts w:ascii="Georgia" w:hAnsi="Georgia"/>
          <w:sz w:val="20"/>
          <w:szCs w:val="20"/>
          <w:lang w:val="en-GB"/>
        </w:rPr>
        <w:t xml:space="preserve"> </w:t>
      </w:r>
      <w:r w:rsidR="008F64BB" w:rsidRPr="00A112CE">
        <w:rPr>
          <w:rFonts w:ascii="Georgia" w:hAnsi="Georgia"/>
          <w:sz w:val="20"/>
          <w:szCs w:val="20"/>
          <w:lang w:val="en-GB"/>
        </w:rPr>
        <w:t>Th</w:t>
      </w:r>
      <w:r w:rsidR="009C7B04" w:rsidRPr="00A112CE">
        <w:rPr>
          <w:rFonts w:ascii="Georgia" w:hAnsi="Georgia"/>
          <w:sz w:val="20"/>
          <w:szCs w:val="20"/>
          <w:lang w:val="en-GB"/>
        </w:rPr>
        <w:t>e</w:t>
      </w:r>
      <w:r w:rsidR="008F64BB" w:rsidRPr="00A112CE">
        <w:rPr>
          <w:rFonts w:ascii="Georgia" w:hAnsi="Georgia"/>
          <w:sz w:val="20"/>
          <w:szCs w:val="20"/>
          <w:lang w:val="en-GB"/>
        </w:rPr>
        <w:t xml:space="preserve"> new </w:t>
      </w:r>
      <w:r w:rsidR="00225EA5" w:rsidRPr="00A112CE">
        <w:rPr>
          <w:rFonts w:ascii="Georgia" w:hAnsi="Georgia"/>
          <w:sz w:val="20"/>
          <w:szCs w:val="20"/>
          <w:lang w:val="en-GB"/>
        </w:rPr>
        <w:t xml:space="preserve">external </w:t>
      </w:r>
      <w:r w:rsidR="009C7B04" w:rsidRPr="00A112CE">
        <w:rPr>
          <w:rFonts w:ascii="Georgia" w:hAnsi="Georgia"/>
          <w:sz w:val="20"/>
          <w:szCs w:val="20"/>
          <w:lang w:val="en-GB"/>
        </w:rPr>
        <w:t>financing instrument</w:t>
      </w:r>
      <w:r w:rsidR="00E87D61" w:rsidRPr="00A112CE">
        <w:rPr>
          <w:rFonts w:ascii="Georgia" w:hAnsi="Georgia"/>
          <w:sz w:val="20"/>
          <w:szCs w:val="20"/>
          <w:lang w:val="en-GB"/>
        </w:rPr>
        <w:t xml:space="preserve"> </w:t>
      </w:r>
      <w:r w:rsidR="00534C5C" w:rsidRPr="00A112CE">
        <w:rPr>
          <w:rFonts w:ascii="Georgia" w:hAnsi="Georgia"/>
          <w:sz w:val="20"/>
          <w:szCs w:val="20"/>
          <w:lang w:val="en-GB"/>
        </w:rPr>
        <w:t>“should include a strong emphasis on migration”</w:t>
      </w:r>
      <w:r w:rsidR="0091699E" w:rsidRPr="00A112CE">
        <w:rPr>
          <w:rFonts w:ascii="Georgia" w:hAnsi="Georgia"/>
          <w:sz w:val="20"/>
          <w:szCs w:val="20"/>
          <w:lang w:val="en-GB"/>
        </w:rPr>
        <w:t xml:space="preserve"> </w:t>
      </w:r>
      <w:r w:rsidR="00534C5C" w:rsidRPr="00A112CE">
        <w:rPr>
          <w:rFonts w:ascii="Georgia" w:hAnsi="Georgia"/>
          <w:sz w:val="20"/>
          <w:szCs w:val="20"/>
          <w:lang w:val="en-GB"/>
        </w:rPr>
        <w:t xml:space="preserve">and </w:t>
      </w:r>
      <w:r w:rsidR="009C7B04" w:rsidRPr="00A112CE">
        <w:rPr>
          <w:rFonts w:ascii="Georgia" w:hAnsi="Georgia"/>
          <w:sz w:val="20"/>
          <w:szCs w:val="20"/>
          <w:lang w:val="en-GB"/>
        </w:rPr>
        <w:t>would also provide funding for</w:t>
      </w:r>
      <w:r w:rsidR="00534C5C" w:rsidRPr="00A112CE">
        <w:rPr>
          <w:rFonts w:ascii="Georgia" w:hAnsi="Georgia"/>
          <w:sz w:val="20"/>
          <w:szCs w:val="20"/>
          <w:lang w:val="en-GB"/>
        </w:rPr>
        <w:t xml:space="preserve"> </w:t>
      </w:r>
      <w:r w:rsidR="00E87D61" w:rsidRPr="00A112CE">
        <w:rPr>
          <w:rFonts w:ascii="Georgia" w:hAnsi="Georgia"/>
          <w:sz w:val="20"/>
          <w:szCs w:val="20"/>
          <w:lang w:val="en-GB"/>
        </w:rPr>
        <w:t>“</w:t>
      </w:r>
      <w:r w:rsidR="00534C5C" w:rsidRPr="00A112CE">
        <w:rPr>
          <w:rFonts w:ascii="Georgia" w:hAnsi="Georgia"/>
          <w:sz w:val="20"/>
          <w:szCs w:val="20"/>
          <w:lang w:val="en-GB"/>
        </w:rPr>
        <w:t xml:space="preserve">capacity </w:t>
      </w:r>
      <w:r w:rsidR="00A527BC">
        <w:rPr>
          <w:rFonts w:ascii="Georgia" w:hAnsi="Georgia"/>
          <w:sz w:val="20"/>
          <w:szCs w:val="20"/>
          <w:lang w:val="en-GB"/>
        </w:rPr>
        <w:t>building</w:t>
      </w:r>
      <w:r w:rsidR="00E87D61" w:rsidRPr="00A112CE">
        <w:rPr>
          <w:rFonts w:ascii="Georgia" w:hAnsi="Georgia"/>
          <w:sz w:val="20"/>
          <w:szCs w:val="20"/>
          <w:lang w:val="en-GB"/>
        </w:rPr>
        <w:t>”</w:t>
      </w:r>
      <w:r w:rsidR="00534C5C" w:rsidRPr="00A112CE">
        <w:rPr>
          <w:rFonts w:ascii="Georgia" w:hAnsi="Georgia"/>
          <w:sz w:val="20"/>
          <w:szCs w:val="20"/>
          <w:lang w:val="en-GB"/>
        </w:rPr>
        <w:t xml:space="preserve"> </w:t>
      </w:r>
      <w:r w:rsidR="00A527BC">
        <w:rPr>
          <w:rFonts w:ascii="Georgia" w:hAnsi="Georgia"/>
          <w:sz w:val="20"/>
          <w:szCs w:val="20"/>
          <w:lang w:val="en-GB"/>
        </w:rPr>
        <w:t xml:space="preserve">(training and equipment) </w:t>
      </w:r>
      <w:r w:rsidR="00534C5C" w:rsidRPr="00A112CE">
        <w:rPr>
          <w:rFonts w:ascii="Georgia" w:hAnsi="Georgia"/>
          <w:sz w:val="20"/>
          <w:szCs w:val="20"/>
          <w:lang w:val="en-GB"/>
        </w:rPr>
        <w:t>for the police and armed forces in partner countries.</w:t>
      </w:r>
      <w:r w:rsidR="00A112CE">
        <w:rPr>
          <w:rFonts w:ascii="Georgia" w:hAnsi="Georgia"/>
          <w:sz w:val="20"/>
          <w:szCs w:val="20"/>
          <w:lang w:val="en-GB"/>
        </w:rPr>
        <w:t xml:space="preserve"> </w:t>
      </w:r>
      <w:r w:rsidR="008F64BB" w:rsidRPr="00A112CE">
        <w:rPr>
          <w:rFonts w:ascii="Georgia" w:hAnsi="Georgia"/>
          <w:sz w:val="20"/>
          <w:szCs w:val="20"/>
          <w:lang w:val="en-GB"/>
        </w:rPr>
        <w:t xml:space="preserve">Bread for the World views this </w:t>
      </w:r>
      <w:r w:rsidR="009C7B04" w:rsidRPr="00A112CE">
        <w:rPr>
          <w:rFonts w:ascii="Georgia" w:hAnsi="Georgia"/>
          <w:sz w:val="20"/>
          <w:szCs w:val="20"/>
          <w:lang w:val="en-GB"/>
        </w:rPr>
        <w:t>development</w:t>
      </w:r>
      <w:r w:rsidR="00E87D61" w:rsidRPr="00A112CE">
        <w:rPr>
          <w:rFonts w:ascii="Georgia" w:hAnsi="Georgia"/>
          <w:sz w:val="20"/>
          <w:szCs w:val="20"/>
          <w:lang w:val="en-GB"/>
        </w:rPr>
        <w:t xml:space="preserve"> </w:t>
      </w:r>
      <w:r w:rsidR="008F64BB" w:rsidRPr="00A112CE">
        <w:rPr>
          <w:rFonts w:ascii="Georgia" w:hAnsi="Georgia"/>
          <w:sz w:val="20"/>
          <w:szCs w:val="20"/>
          <w:lang w:val="en-GB"/>
        </w:rPr>
        <w:t>with gr</w:t>
      </w:r>
      <w:r w:rsidR="00225EA5" w:rsidRPr="00A112CE">
        <w:rPr>
          <w:rFonts w:ascii="Georgia" w:hAnsi="Georgia"/>
          <w:sz w:val="20"/>
          <w:szCs w:val="20"/>
          <w:lang w:val="en-GB"/>
        </w:rPr>
        <w:t>eat</w:t>
      </w:r>
      <w:r w:rsidR="008F64BB" w:rsidRPr="00A112CE">
        <w:rPr>
          <w:rFonts w:ascii="Georgia" w:hAnsi="Georgia"/>
          <w:sz w:val="20"/>
          <w:szCs w:val="20"/>
          <w:lang w:val="en-GB"/>
        </w:rPr>
        <w:t xml:space="preserve"> concern</w:t>
      </w:r>
      <w:r w:rsidR="00BB2431" w:rsidRPr="00A112CE">
        <w:rPr>
          <w:rFonts w:ascii="Georgia" w:hAnsi="Georgia"/>
          <w:sz w:val="20"/>
          <w:szCs w:val="20"/>
          <w:lang w:val="en-GB"/>
        </w:rPr>
        <w:t>.</w:t>
      </w:r>
    </w:p>
    <w:p w:rsidR="00BB2431" w:rsidRPr="00A112CE" w:rsidRDefault="00BB2431" w:rsidP="00BB2431">
      <w:pPr>
        <w:spacing w:before="100" w:beforeAutospacing="1" w:after="100" w:afterAutospacing="1"/>
        <w:outlineLvl w:val="0"/>
        <w:rPr>
          <w:rFonts w:ascii="Georgia" w:hAnsi="Georgia"/>
          <w:sz w:val="20"/>
          <w:szCs w:val="20"/>
          <w:lang w:val="en-GB"/>
        </w:rPr>
      </w:pPr>
      <w:r w:rsidRPr="00A112CE">
        <w:rPr>
          <w:rFonts w:ascii="Georgia" w:hAnsi="Georgia"/>
          <w:b/>
          <w:sz w:val="20"/>
          <w:szCs w:val="20"/>
          <w:lang w:val="en-GB"/>
        </w:rPr>
        <w:t>Dr Martina Fischer</w:t>
      </w:r>
      <w:r w:rsidRPr="00A112CE">
        <w:rPr>
          <w:rFonts w:ascii="Georgia" w:hAnsi="Georgia"/>
          <w:sz w:val="20"/>
          <w:szCs w:val="20"/>
          <w:lang w:val="en-GB"/>
        </w:rPr>
        <w:t xml:space="preserve">, </w:t>
      </w:r>
      <w:r w:rsidR="00534C5C" w:rsidRPr="00A112CE">
        <w:rPr>
          <w:rFonts w:ascii="Georgia" w:hAnsi="Georgia"/>
          <w:sz w:val="20"/>
          <w:szCs w:val="20"/>
          <w:lang w:val="en-GB"/>
        </w:rPr>
        <w:t xml:space="preserve">Policy Advisor, Peace and Conflict Transformation, at Bread for the World, </w:t>
      </w:r>
      <w:r w:rsidR="00534C5C" w:rsidRPr="00A112CE">
        <w:rPr>
          <w:rFonts w:ascii="Georgia" w:hAnsi="Georgia"/>
          <w:b/>
          <w:sz w:val="20"/>
          <w:szCs w:val="20"/>
          <w:lang w:val="en-GB"/>
        </w:rPr>
        <w:t>comments</w:t>
      </w:r>
      <w:r w:rsidR="00534C5C" w:rsidRPr="00A112CE">
        <w:rPr>
          <w:rFonts w:ascii="Georgia" w:hAnsi="Georgia"/>
          <w:sz w:val="20"/>
          <w:szCs w:val="20"/>
          <w:lang w:val="en-GB"/>
        </w:rPr>
        <w:t>:</w:t>
      </w:r>
      <w:r w:rsidR="00A112CE">
        <w:rPr>
          <w:rFonts w:ascii="Georgia" w:hAnsi="Georgia"/>
          <w:sz w:val="20"/>
          <w:szCs w:val="20"/>
          <w:lang w:val="en-GB"/>
        </w:rPr>
        <w:t xml:space="preserve"> </w:t>
      </w:r>
    </w:p>
    <w:p w:rsidR="00BB2431" w:rsidRPr="00A112CE" w:rsidRDefault="002773DB" w:rsidP="00BB2431">
      <w:pPr>
        <w:spacing w:before="100" w:beforeAutospacing="1" w:after="100" w:afterAutospacing="1"/>
        <w:rPr>
          <w:rFonts w:ascii="Georgia" w:hAnsi="Georgia"/>
          <w:sz w:val="20"/>
          <w:szCs w:val="20"/>
          <w:lang w:val="en-GB"/>
        </w:rPr>
      </w:pPr>
      <w:r w:rsidRPr="00A112CE">
        <w:rPr>
          <w:rFonts w:ascii="Georgia" w:hAnsi="Georgia"/>
          <w:sz w:val="20"/>
          <w:szCs w:val="20"/>
          <w:lang w:val="en-GB"/>
        </w:rPr>
        <w:t xml:space="preserve">“We are worried that </w:t>
      </w:r>
      <w:r w:rsidR="00E87D61" w:rsidRPr="00A112CE">
        <w:rPr>
          <w:rFonts w:ascii="Georgia" w:hAnsi="Georgia"/>
          <w:sz w:val="20"/>
          <w:szCs w:val="20"/>
          <w:lang w:val="en-GB"/>
        </w:rPr>
        <w:t>tried and tested</w:t>
      </w:r>
      <w:r w:rsidRPr="00A112CE">
        <w:rPr>
          <w:rFonts w:ascii="Georgia" w:hAnsi="Georgia"/>
          <w:sz w:val="20"/>
          <w:szCs w:val="20"/>
          <w:lang w:val="en-GB"/>
        </w:rPr>
        <w:t xml:space="preserve"> mechanisms which support</w:t>
      </w:r>
      <w:r w:rsidR="00BA5F50" w:rsidRPr="00A112CE">
        <w:rPr>
          <w:rFonts w:ascii="Georgia" w:hAnsi="Georgia"/>
          <w:sz w:val="20"/>
          <w:szCs w:val="20"/>
          <w:lang w:val="en-GB"/>
        </w:rPr>
        <w:t xml:space="preserve"> development,</w:t>
      </w:r>
      <w:r w:rsidRPr="00A112CE">
        <w:rPr>
          <w:rFonts w:ascii="Georgia" w:hAnsi="Georgia"/>
          <w:sz w:val="20"/>
          <w:szCs w:val="20"/>
          <w:lang w:val="en-GB"/>
        </w:rPr>
        <w:t xml:space="preserve"> civil crisis prevention and human rights protection but also require a reliable source of long-term funding are giving way to the EU’s short-term security interests</w:t>
      </w:r>
      <w:r w:rsidR="00BB2431" w:rsidRPr="00A112CE">
        <w:rPr>
          <w:rFonts w:ascii="Georgia" w:hAnsi="Georgia"/>
          <w:sz w:val="20"/>
          <w:szCs w:val="20"/>
          <w:lang w:val="en-GB"/>
        </w:rPr>
        <w:t xml:space="preserve">. </w:t>
      </w:r>
      <w:r w:rsidRPr="00A112CE">
        <w:rPr>
          <w:rFonts w:ascii="Georgia" w:hAnsi="Georgia"/>
          <w:sz w:val="20"/>
          <w:szCs w:val="20"/>
          <w:lang w:val="en-GB"/>
        </w:rPr>
        <w:t xml:space="preserve">Development policy should focus on ending poverty and improving social and economic prospects in the world’s poorest countries. Instead, with this new format, it seems likely that the funding will mainly benefit countries that show themselves willing to cooperate with the EU on reinforcing borders and </w:t>
      </w:r>
      <w:r w:rsidR="00225EA5" w:rsidRPr="00A112CE">
        <w:rPr>
          <w:rFonts w:ascii="Georgia" w:hAnsi="Georgia"/>
          <w:sz w:val="20"/>
          <w:szCs w:val="20"/>
          <w:lang w:val="en-GB"/>
        </w:rPr>
        <w:t>controlling</w:t>
      </w:r>
      <w:r w:rsidRPr="00A112CE">
        <w:rPr>
          <w:rFonts w:ascii="Georgia" w:hAnsi="Georgia"/>
          <w:sz w:val="20"/>
          <w:szCs w:val="20"/>
          <w:lang w:val="en-GB"/>
        </w:rPr>
        <w:t xml:space="preserve"> migration. That is the purpose of various agreements already signed in recent years with governments in North Africa and the Sahel region</w:t>
      </w:r>
      <w:r w:rsidR="00A112CE">
        <w:rPr>
          <w:rFonts w:ascii="Georgia" w:hAnsi="Georgia"/>
          <w:sz w:val="20"/>
          <w:szCs w:val="20"/>
          <w:lang w:val="en-GB"/>
        </w:rPr>
        <w:t>,</w:t>
      </w:r>
      <w:r w:rsidRPr="00A112CE">
        <w:rPr>
          <w:rFonts w:ascii="Georgia" w:hAnsi="Georgia"/>
          <w:sz w:val="20"/>
          <w:szCs w:val="20"/>
          <w:lang w:val="en-GB"/>
        </w:rPr>
        <w:t xml:space="preserve"> whose human rights record</w:t>
      </w:r>
      <w:r w:rsidR="00BA5F50" w:rsidRPr="00A112CE">
        <w:rPr>
          <w:rFonts w:ascii="Georgia" w:hAnsi="Georgia"/>
          <w:sz w:val="20"/>
          <w:szCs w:val="20"/>
          <w:lang w:val="en-GB"/>
        </w:rPr>
        <w:t>, in some cases,</w:t>
      </w:r>
      <w:r w:rsidRPr="00A112CE">
        <w:rPr>
          <w:rFonts w:ascii="Georgia" w:hAnsi="Georgia"/>
          <w:sz w:val="20"/>
          <w:szCs w:val="20"/>
          <w:lang w:val="en-GB"/>
        </w:rPr>
        <w:t xml:space="preserve"> </w:t>
      </w:r>
      <w:r w:rsidR="00225EA5" w:rsidRPr="00A112CE">
        <w:rPr>
          <w:rFonts w:ascii="Georgia" w:hAnsi="Georgia"/>
          <w:sz w:val="20"/>
          <w:szCs w:val="20"/>
          <w:lang w:val="en-GB"/>
        </w:rPr>
        <w:t xml:space="preserve">is </w:t>
      </w:r>
      <w:r w:rsidRPr="00A112CE">
        <w:rPr>
          <w:rFonts w:ascii="Georgia" w:hAnsi="Georgia"/>
          <w:sz w:val="20"/>
          <w:szCs w:val="20"/>
          <w:lang w:val="en-GB"/>
        </w:rPr>
        <w:t>extremely problematical</w:t>
      </w:r>
      <w:r w:rsidR="00BB2431" w:rsidRPr="00A112CE">
        <w:rPr>
          <w:rFonts w:ascii="Georgia" w:hAnsi="Georgia"/>
          <w:sz w:val="20"/>
          <w:szCs w:val="20"/>
          <w:lang w:val="en-GB"/>
        </w:rPr>
        <w:t>.</w:t>
      </w:r>
      <w:r w:rsidRPr="00A112CE">
        <w:rPr>
          <w:rFonts w:ascii="Georgia" w:hAnsi="Georgia"/>
          <w:sz w:val="20"/>
          <w:szCs w:val="20"/>
          <w:lang w:val="en-GB"/>
        </w:rPr>
        <w:t>”</w:t>
      </w:r>
      <w:r w:rsidR="00BB2431" w:rsidRPr="00A112CE">
        <w:rPr>
          <w:rFonts w:ascii="Georgia" w:hAnsi="Georgia"/>
          <w:sz w:val="20"/>
          <w:szCs w:val="20"/>
          <w:lang w:val="en-GB"/>
        </w:rPr>
        <w:t xml:space="preserve"> </w:t>
      </w:r>
    </w:p>
    <w:p w:rsidR="00BB2431" w:rsidRPr="00A112CE" w:rsidRDefault="002773DB" w:rsidP="00BB2431">
      <w:pPr>
        <w:spacing w:before="100" w:beforeAutospacing="1" w:after="100" w:afterAutospacing="1"/>
        <w:outlineLvl w:val="0"/>
        <w:rPr>
          <w:rFonts w:ascii="Georgia" w:hAnsi="Georgia"/>
          <w:sz w:val="20"/>
          <w:szCs w:val="20"/>
          <w:lang w:val="en-GB"/>
        </w:rPr>
      </w:pPr>
      <w:r w:rsidRPr="00A112CE">
        <w:rPr>
          <w:rFonts w:ascii="Georgia" w:hAnsi="Georgia"/>
          <w:sz w:val="20"/>
          <w:szCs w:val="20"/>
          <w:lang w:val="en-GB"/>
        </w:rPr>
        <w:t xml:space="preserve">Bread for the World is particularly critical of the </w:t>
      </w:r>
      <w:r w:rsidR="00BA5F50" w:rsidRPr="00A112CE">
        <w:rPr>
          <w:rFonts w:ascii="Georgia" w:hAnsi="Georgia"/>
          <w:sz w:val="20"/>
          <w:szCs w:val="20"/>
          <w:lang w:val="en-GB"/>
        </w:rPr>
        <w:t xml:space="preserve">scrapping of the </w:t>
      </w:r>
      <w:r w:rsidRPr="00A112CE">
        <w:rPr>
          <w:rFonts w:ascii="Georgia" w:hAnsi="Georgia"/>
          <w:sz w:val="20"/>
          <w:szCs w:val="20"/>
          <w:lang w:val="en-GB"/>
        </w:rPr>
        <w:t xml:space="preserve">funding </w:t>
      </w:r>
      <w:r w:rsidR="00BA5F50" w:rsidRPr="00A112CE">
        <w:rPr>
          <w:rFonts w:ascii="Georgia" w:hAnsi="Georgia"/>
          <w:sz w:val="20"/>
          <w:szCs w:val="20"/>
          <w:lang w:val="en-GB"/>
        </w:rPr>
        <w:t>mechanisms</w:t>
      </w:r>
      <w:r w:rsidRPr="00A112CE">
        <w:rPr>
          <w:rFonts w:ascii="Georgia" w:hAnsi="Georgia"/>
          <w:sz w:val="20"/>
          <w:szCs w:val="20"/>
          <w:lang w:val="en-GB"/>
        </w:rPr>
        <w:t xml:space="preserve"> for civil society</w:t>
      </w:r>
      <w:r w:rsidR="0091699E" w:rsidRPr="00A112CE">
        <w:rPr>
          <w:rFonts w:ascii="Georgia" w:hAnsi="Georgia"/>
          <w:sz w:val="20"/>
          <w:szCs w:val="20"/>
          <w:lang w:val="en-GB"/>
        </w:rPr>
        <w:t>. Martina Fischer</w:t>
      </w:r>
      <w:r w:rsidRPr="00A112CE">
        <w:rPr>
          <w:rFonts w:ascii="Georgia" w:hAnsi="Georgia"/>
          <w:sz w:val="20"/>
          <w:szCs w:val="20"/>
          <w:lang w:val="en-GB"/>
        </w:rPr>
        <w:t xml:space="preserve"> explains</w:t>
      </w:r>
      <w:r w:rsidR="00BB2431" w:rsidRPr="00A112CE">
        <w:rPr>
          <w:rFonts w:ascii="Georgia" w:hAnsi="Georgia"/>
          <w:sz w:val="20"/>
          <w:szCs w:val="20"/>
          <w:lang w:val="en-GB"/>
        </w:rPr>
        <w:t>:</w:t>
      </w:r>
    </w:p>
    <w:p w:rsidR="00BB2431" w:rsidRPr="008431F3" w:rsidRDefault="002773DB" w:rsidP="00BB2431">
      <w:pPr>
        <w:spacing w:before="100" w:beforeAutospacing="1" w:after="100" w:afterAutospacing="1"/>
        <w:outlineLvl w:val="0"/>
        <w:rPr>
          <w:rFonts w:ascii="Georgia" w:hAnsi="Georgia"/>
          <w:sz w:val="20"/>
          <w:szCs w:val="20"/>
          <w:lang w:val="en-GB"/>
        </w:rPr>
      </w:pPr>
      <w:r w:rsidRPr="00A112CE">
        <w:rPr>
          <w:rFonts w:ascii="Georgia" w:hAnsi="Georgia"/>
          <w:sz w:val="20"/>
          <w:szCs w:val="20"/>
          <w:lang w:val="en-GB"/>
        </w:rPr>
        <w:t>“</w:t>
      </w:r>
      <w:r w:rsidR="00BA5F50" w:rsidRPr="00A112CE">
        <w:rPr>
          <w:rFonts w:ascii="Georgia" w:hAnsi="Georgia"/>
          <w:sz w:val="20"/>
          <w:szCs w:val="20"/>
          <w:lang w:val="en-GB"/>
        </w:rPr>
        <w:t>Any withdrawal of</w:t>
      </w:r>
      <w:r w:rsidRPr="00A112CE">
        <w:rPr>
          <w:rFonts w:ascii="Georgia" w:hAnsi="Georgia"/>
          <w:sz w:val="20"/>
          <w:szCs w:val="20"/>
          <w:lang w:val="en-GB"/>
        </w:rPr>
        <w:t xml:space="preserve"> the</w:t>
      </w:r>
      <w:r w:rsidR="00BB2431" w:rsidRPr="00A112CE">
        <w:rPr>
          <w:rFonts w:ascii="Georgia" w:hAnsi="Georgia"/>
          <w:sz w:val="20"/>
          <w:szCs w:val="20"/>
          <w:lang w:val="en-GB"/>
        </w:rPr>
        <w:t xml:space="preserve"> </w:t>
      </w:r>
      <w:r w:rsidR="004D2403" w:rsidRPr="00A112CE">
        <w:rPr>
          <w:rFonts w:ascii="Georgia" w:hAnsi="Georgia"/>
          <w:bCs/>
          <w:i/>
          <w:sz w:val="20"/>
          <w:szCs w:val="20"/>
          <w:lang w:val="en-GB"/>
        </w:rPr>
        <w:t>Instrument</w:t>
      </w:r>
      <w:r w:rsidR="004D2403" w:rsidRPr="00A112CE">
        <w:rPr>
          <w:rFonts w:ascii="Georgia" w:hAnsi="Georgia"/>
          <w:i/>
          <w:sz w:val="20"/>
          <w:szCs w:val="20"/>
          <w:lang w:val="en-GB"/>
        </w:rPr>
        <w:t xml:space="preserve"> contributing to </w:t>
      </w:r>
      <w:r w:rsidR="004D2403" w:rsidRPr="00A112CE">
        <w:rPr>
          <w:rFonts w:ascii="Georgia" w:hAnsi="Georgia"/>
          <w:bCs/>
          <w:i/>
          <w:sz w:val="20"/>
          <w:szCs w:val="20"/>
          <w:lang w:val="en-GB"/>
        </w:rPr>
        <w:t>Stability</w:t>
      </w:r>
      <w:r w:rsidR="004D2403" w:rsidRPr="00A112CE">
        <w:rPr>
          <w:rFonts w:ascii="Georgia" w:hAnsi="Georgia"/>
          <w:i/>
          <w:sz w:val="20"/>
          <w:szCs w:val="20"/>
          <w:lang w:val="en-GB"/>
        </w:rPr>
        <w:t xml:space="preserve"> and </w:t>
      </w:r>
      <w:r w:rsidR="004D2403" w:rsidRPr="00A112CE">
        <w:rPr>
          <w:rFonts w:ascii="Georgia" w:hAnsi="Georgia"/>
          <w:bCs/>
          <w:i/>
          <w:sz w:val="20"/>
          <w:szCs w:val="20"/>
          <w:lang w:val="en-GB"/>
        </w:rPr>
        <w:t>Peace</w:t>
      </w:r>
      <w:r w:rsidR="004D2403" w:rsidRPr="00A112CE">
        <w:rPr>
          <w:rFonts w:ascii="Georgia" w:hAnsi="Georgia"/>
          <w:sz w:val="20"/>
          <w:szCs w:val="20"/>
          <w:lang w:val="en-GB"/>
        </w:rPr>
        <w:t xml:space="preserve"> (IcSP)</w:t>
      </w:r>
      <w:r w:rsidR="004D2403" w:rsidRPr="00A112CE">
        <w:rPr>
          <w:rFonts w:ascii="Georgia" w:hAnsi="Georgia"/>
          <w:i/>
          <w:sz w:val="20"/>
          <w:szCs w:val="20"/>
          <w:lang w:val="en-GB"/>
        </w:rPr>
        <w:t xml:space="preserve"> </w:t>
      </w:r>
      <w:r w:rsidRPr="00A112CE">
        <w:rPr>
          <w:rFonts w:ascii="Georgia" w:hAnsi="Georgia"/>
          <w:sz w:val="20"/>
          <w:szCs w:val="20"/>
          <w:lang w:val="en-GB"/>
        </w:rPr>
        <w:t xml:space="preserve">would be a massive setback for everyone who has been working </w:t>
      </w:r>
      <w:r w:rsidR="002166F9" w:rsidRPr="00A112CE">
        <w:rPr>
          <w:rFonts w:ascii="Georgia" w:hAnsi="Georgia"/>
          <w:sz w:val="20"/>
          <w:szCs w:val="20"/>
          <w:lang w:val="en-GB"/>
        </w:rPr>
        <w:t>with such perseverance</w:t>
      </w:r>
      <w:r w:rsidR="00F82FF6" w:rsidRPr="00A112CE">
        <w:rPr>
          <w:rFonts w:ascii="Georgia" w:hAnsi="Georgia"/>
          <w:sz w:val="20"/>
          <w:szCs w:val="20"/>
          <w:lang w:val="en-GB"/>
        </w:rPr>
        <w:t xml:space="preserve"> for so long</w:t>
      </w:r>
      <w:r w:rsidR="00DF1714" w:rsidRPr="00A112CE">
        <w:rPr>
          <w:rFonts w:ascii="Georgia" w:hAnsi="Georgia"/>
          <w:sz w:val="20"/>
          <w:szCs w:val="20"/>
          <w:lang w:val="en-GB"/>
        </w:rPr>
        <w:t xml:space="preserve"> to strengthen civil crisis prevention and peacebuilding at EU level</w:t>
      </w:r>
      <w:r w:rsidR="00BB2431" w:rsidRPr="00A112CE">
        <w:rPr>
          <w:rFonts w:ascii="Georgia" w:hAnsi="Georgia"/>
          <w:sz w:val="20"/>
          <w:szCs w:val="20"/>
          <w:lang w:val="en-GB"/>
        </w:rPr>
        <w:t xml:space="preserve">. </w:t>
      </w:r>
      <w:r w:rsidR="00DF1714" w:rsidRPr="00A112CE">
        <w:rPr>
          <w:rFonts w:ascii="Georgia" w:hAnsi="Georgia"/>
          <w:sz w:val="20"/>
          <w:szCs w:val="20"/>
          <w:lang w:val="en-GB"/>
        </w:rPr>
        <w:t>This proposal is hard to comprehend, given that a 2017 evaluation of t</w:t>
      </w:r>
      <w:r w:rsidR="002166F9" w:rsidRPr="00A112CE">
        <w:rPr>
          <w:rFonts w:ascii="Georgia" w:hAnsi="Georgia"/>
          <w:sz w:val="20"/>
          <w:szCs w:val="20"/>
          <w:lang w:val="en-GB"/>
        </w:rPr>
        <w:t xml:space="preserve">his particular mechanism rated it as highly effective and successful. We are also critical of the proposal to </w:t>
      </w:r>
      <w:r w:rsidR="004D2403" w:rsidRPr="00A112CE">
        <w:rPr>
          <w:rFonts w:ascii="Georgia" w:hAnsi="Georgia"/>
          <w:sz w:val="20"/>
          <w:szCs w:val="20"/>
          <w:lang w:val="en-GB"/>
        </w:rPr>
        <w:t>integrate</w:t>
      </w:r>
      <w:r w:rsidR="00534C5C" w:rsidRPr="00A112CE">
        <w:rPr>
          <w:rFonts w:ascii="Georgia" w:hAnsi="Georgia"/>
          <w:sz w:val="20"/>
          <w:szCs w:val="20"/>
          <w:lang w:val="en-GB"/>
        </w:rPr>
        <w:t xml:space="preserve"> the </w:t>
      </w:r>
      <w:r w:rsidR="00534C5C" w:rsidRPr="00A112CE">
        <w:rPr>
          <w:rFonts w:ascii="Georgia" w:hAnsi="Georgia"/>
          <w:i/>
          <w:sz w:val="20"/>
          <w:szCs w:val="20"/>
          <w:lang w:val="en-GB"/>
        </w:rPr>
        <w:t>European Instrument for Democracy and Human Rights</w:t>
      </w:r>
      <w:r w:rsidR="00534C5C" w:rsidRPr="00A112CE">
        <w:rPr>
          <w:rFonts w:ascii="Georgia" w:hAnsi="Georgia"/>
          <w:sz w:val="20"/>
          <w:szCs w:val="20"/>
          <w:lang w:val="en-GB"/>
        </w:rPr>
        <w:t xml:space="preserve"> into th</w:t>
      </w:r>
      <w:r w:rsidR="00F82FF6" w:rsidRPr="00A112CE">
        <w:rPr>
          <w:rFonts w:ascii="Georgia" w:hAnsi="Georgia"/>
          <w:sz w:val="20"/>
          <w:szCs w:val="20"/>
          <w:lang w:val="en-GB"/>
        </w:rPr>
        <w:t>e new</w:t>
      </w:r>
      <w:r w:rsidR="00534C5C" w:rsidRPr="00A112CE">
        <w:rPr>
          <w:rFonts w:ascii="Georgia" w:hAnsi="Georgia"/>
          <w:sz w:val="20"/>
          <w:szCs w:val="20"/>
          <w:lang w:val="en-GB"/>
        </w:rPr>
        <w:t xml:space="preserve"> framework.</w:t>
      </w:r>
      <w:r w:rsidR="00A112CE">
        <w:rPr>
          <w:rFonts w:ascii="Georgia" w:hAnsi="Georgia"/>
          <w:i/>
          <w:sz w:val="20"/>
          <w:szCs w:val="20"/>
          <w:lang w:val="en-GB"/>
        </w:rPr>
        <w:t xml:space="preserve"> </w:t>
      </w:r>
      <w:r w:rsidR="002166F9" w:rsidRPr="00A112CE">
        <w:rPr>
          <w:rFonts w:ascii="Georgia" w:hAnsi="Georgia"/>
          <w:sz w:val="20"/>
          <w:szCs w:val="20"/>
          <w:lang w:val="en-GB"/>
        </w:rPr>
        <w:t xml:space="preserve">The EIDHR provides targeted </w:t>
      </w:r>
      <w:r w:rsidR="004D2403" w:rsidRPr="00A112CE">
        <w:rPr>
          <w:rFonts w:ascii="Georgia" w:hAnsi="Georgia"/>
          <w:sz w:val="20"/>
          <w:szCs w:val="20"/>
          <w:lang w:val="en-GB"/>
        </w:rPr>
        <w:t xml:space="preserve">support </w:t>
      </w:r>
      <w:r w:rsidR="00F82FF6" w:rsidRPr="00A112CE">
        <w:rPr>
          <w:rFonts w:ascii="Georgia" w:hAnsi="Georgia"/>
          <w:sz w:val="20"/>
          <w:szCs w:val="20"/>
          <w:lang w:val="en-GB"/>
        </w:rPr>
        <w:t>for</w:t>
      </w:r>
      <w:r w:rsidR="004D2403" w:rsidRPr="00A112CE">
        <w:rPr>
          <w:rFonts w:ascii="Georgia" w:hAnsi="Georgia"/>
          <w:sz w:val="20"/>
          <w:szCs w:val="20"/>
          <w:lang w:val="en-GB"/>
        </w:rPr>
        <w:t xml:space="preserve"> local initiatives, civil society and the media </w:t>
      </w:r>
      <w:r w:rsidR="00F82FF6" w:rsidRPr="00A112CE">
        <w:rPr>
          <w:rFonts w:ascii="Georgia" w:hAnsi="Georgia"/>
          <w:sz w:val="20"/>
          <w:szCs w:val="20"/>
          <w:lang w:val="en-GB"/>
        </w:rPr>
        <w:t>in</w:t>
      </w:r>
      <w:r w:rsidR="004D2403" w:rsidRPr="00A112CE">
        <w:rPr>
          <w:rFonts w:ascii="Georgia" w:hAnsi="Georgia"/>
          <w:sz w:val="20"/>
          <w:szCs w:val="20"/>
          <w:lang w:val="en-GB"/>
        </w:rPr>
        <w:t xml:space="preserve"> </w:t>
      </w:r>
      <w:r w:rsidR="00F82FF6" w:rsidRPr="00A112CE">
        <w:rPr>
          <w:rFonts w:ascii="Georgia" w:hAnsi="Georgia"/>
          <w:sz w:val="20"/>
          <w:szCs w:val="20"/>
          <w:lang w:val="en-GB"/>
        </w:rPr>
        <w:t>social dialogue</w:t>
      </w:r>
      <w:r w:rsidR="002166F9" w:rsidRPr="00A112CE">
        <w:rPr>
          <w:rFonts w:ascii="Georgia" w:hAnsi="Georgia"/>
          <w:sz w:val="20"/>
          <w:szCs w:val="20"/>
          <w:lang w:val="en-GB"/>
        </w:rPr>
        <w:t>. It is a flexible instrument</w:t>
      </w:r>
      <w:r w:rsidR="00F82FF6" w:rsidRPr="00A112CE">
        <w:rPr>
          <w:rFonts w:ascii="Georgia" w:hAnsi="Georgia"/>
          <w:sz w:val="20"/>
          <w:szCs w:val="20"/>
          <w:lang w:val="en-GB"/>
        </w:rPr>
        <w:t>, which means that it can</w:t>
      </w:r>
      <w:r w:rsidR="004D2403" w:rsidRPr="00A112CE">
        <w:rPr>
          <w:rFonts w:ascii="Georgia" w:hAnsi="Georgia"/>
          <w:sz w:val="20"/>
          <w:szCs w:val="20"/>
          <w:lang w:val="en-GB"/>
        </w:rPr>
        <w:t xml:space="preserve"> make </w:t>
      </w:r>
      <w:r w:rsidR="002166F9" w:rsidRPr="00A112CE">
        <w:rPr>
          <w:rFonts w:ascii="Georgia" w:hAnsi="Georgia"/>
          <w:sz w:val="20"/>
          <w:szCs w:val="20"/>
          <w:lang w:val="en-GB"/>
        </w:rPr>
        <w:t>important contributions – even in crises – to anti-discrimination and protecti</w:t>
      </w:r>
      <w:r w:rsidR="00E87D61" w:rsidRPr="00A112CE">
        <w:rPr>
          <w:rFonts w:ascii="Georgia" w:hAnsi="Georgia"/>
          <w:sz w:val="20"/>
          <w:szCs w:val="20"/>
          <w:lang w:val="en-GB"/>
        </w:rPr>
        <w:t>on of</w:t>
      </w:r>
      <w:r w:rsidR="002166F9" w:rsidRPr="00A112CE">
        <w:rPr>
          <w:rFonts w:ascii="Georgia" w:hAnsi="Georgia"/>
          <w:sz w:val="20"/>
          <w:szCs w:val="20"/>
          <w:lang w:val="en-GB"/>
        </w:rPr>
        <w:t xml:space="preserve"> human rights activists. If these two </w:t>
      </w:r>
      <w:r w:rsidR="00225EA5" w:rsidRPr="00A112CE">
        <w:rPr>
          <w:rFonts w:ascii="Georgia" w:hAnsi="Georgia"/>
          <w:sz w:val="20"/>
          <w:szCs w:val="20"/>
          <w:lang w:val="en-GB"/>
        </w:rPr>
        <w:t>budget lines</w:t>
      </w:r>
      <w:r w:rsidR="002166F9" w:rsidRPr="00A112CE">
        <w:rPr>
          <w:rFonts w:ascii="Georgia" w:hAnsi="Georgia"/>
          <w:sz w:val="20"/>
          <w:szCs w:val="20"/>
          <w:lang w:val="en-GB"/>
        </w:rPr>
        <w:t xml:space="preserve"> fall away, the support available for civil society projects will be extremely limited. It is already very difficult for NGOs working at the grassroots to access EU finding. Integrating this funding mechani</w:t>
      </w:r>
      <w:r w:rsidR="004D2403" w:rsidRPr="00A112CE">
        <w:rPr>
          <w:rFonts w:ascii="Georgia" w:hAnsi="Georgia"/>
          <w:sz w:val="20"/>
          <w:szCs w:val="20"/>
          <w:lang w:val="en-GB"/>
        </w:rPr>
        <w:t>s</w:t>
      </w:r>
      <w:r w:rsidR="002166F9" w:rsidRPr="00A112CE">
        <w:rPr>
          <w:rFonts w:ascii="Georgia" w:hAnsi="Georgia"/>
          <w:sz w:val="20"/>
          <w:szCs w:val="20"/>
          <w:lang w:val="en-GB"/>
        </w:rPr>
        <w:t xml:space="preserve">m into a larger and more </w:t>
      </w:r>
      <w:r w:rsidR="00E87D61" w:rsidRPr="00A112CE">
        <w:rPr>
          <w:rFonts w:ascii="Georgia" w:hAnsi="Georgia"/>
          <w:sz w:val="20"/>
          <w:szCs w:val="20"/>
          <w:lang w:val="en-GB"/>
        </w:rPr>
        <w:t>general</w:t>
      </w:r>
      <w:r w:rsidR="002166F9" w:rsidRPr="00A112CE">
        <w:rPr>
          <w:rFonts w:ascii="Georgia" w:hAnsi="Georgia"/>
          <w:sz w:val="20"/>
          <w:szCs w:val="20"/>
          <w:lang w:val="en-GB"/>
        </w:rPr>
        <w:t xml:space="preserve"> budget line would</w:t>
      </w:r>
      <w:r w:rsidR="004D2403" w:rsidRPr="00A112CE">
        <w:rPr>
          <w:rFonts w:ascii="Georgia" w:hAnsi="Georgia"/>
          <w:sz w:val="20"/>
          <w:szCs w:val="20"/>
          <w:lang w:val="en-GB"/>
        </w:rPr>
        <w:t xml:space="preserve">, without question, </w:t>
      </w:r>
      <w:r w:rsidR="002166F9" w:rsidRPr="00A112CE">
        <w:rPr>
          <w:rFonts w:ascii="Georgia" w:hAnsi="Georgia"/>
          <w:sz w:val="20"/>
          <w:szCs w:val="20"/>
          <w:lang w:val="en-GB"/>
        </w:rPr>
        <w:t>reduce NGOs’ access to funding</w:t>
      </w:r>
      <w:r w:rsidR="004D2403" w:rsidRPr="00A112CE">
        <w:rPr>
          <w:rFonts w:ascii="Georgia" w:hAnsi="Georgia"/>
          <w:sz w:val="20"/>
          <w:szCs w:val="20"/>
          <w:lang w:val="en-GB"/>
        </w:rPr>
        <w:t>, not only because</w:t>
      </w:r>
      <w:r w:rsidR="002166F9" w:rsidRPr="00A112CE">
        <w:rPr>
          <w:rFonts w:ascii="Georgia" w:hAnsi="Georgia"/>
          <w:sz w:val="20"/>
          <w:szCs w:val="20"/>
          <w:lang w:val="en-GB"/>
        </w:rPr>
        <w:t xml:space="preserve"> the funds would have to be disbursed in much larger tranches but also because this type of mechanism is not set up to provide ad</w:t>
      </w:r>
      <w:r w:rsidR="002166F9" w:rsidRPr="008431F3">
        <w:rPr>
          <w:rFonts w:ascii="Georgia" w:hAnsi="Georgia"/>
          <w:sz w:val="20"/>
          <w:szCs w:val="20"/>
          <w:lang w:val="en-GB"/>
        </w:rPr>
        <w:t xml:space="preserve"> hoc support in emergencies. Given th</w:t>
      </w:r>
      <w:r w:rsidR="00F82FF6">
        <w:rPr>
          <w:rFonts w:ascii="Georgia" w:hAnsi="Georgia"/>
          <w:sz w:val="20"/>
          <w:szCs w:val="20"/>
          <w:lang w:val="en-GB"/>
        </w:rPr>
        <w:t xml:space="preserve">at </w:t>
      </w:r>
      <w:r w:rsidR="00225EA5">
        <w:rPr>
          <w:rFonts w:ascii="Georgia" w:hAnsi="Georgia"/>
          <w:sz w:val="20"/>
          <w:szCs w:val="20"/>
          <w:lang w:val="en-GB"/>
        </w:rPr>
        <w:t xml:space="preserve">the </w:t>
      </w:r>
      <w:r w:rsidR="00F82FF6">
        <w:rPr>
          <w:rFonts w:ascii="Georgia" w:hAnsi="Georgia"/>
          <w:sz w:val="20"/>
          <w:szCs w:val="20"/>
          <w:lang w:val="en-GB"/>
        </w:rPr>
        <w:t>scope for</w:t>
      </w:r>
      <w:r w:rsidR="002166F9" w:rsidRPr="008431F3">
        <w:rPr>
          <w:rFonts w:ascii="Georgia" w:hAnsi="Georgia"/>
          <w:sz w:val="20"/>
          <w:szCs w:val="20"/>
          <w:lang w:val="en-GB"/>
        </w:rPr>
        <w:t xml:space="preserve"> civil society </w:t>
      </w:r>
      <w:r w:rsidR="00F82FF6">
        <w:rPr>
          <w:rFonts w:ascii="Georgia" w:hAnsi="Georgia"/>
          <w:sz w:val="20"/>
          <w:szCs w:val="20"/>
          <w:lang w:val="en-GB"/>
        </w:rPr>
        <w:t>engagement</w:t>
      </w:r>
      <w:r w:rsidR="002166F9" w:rsidRPr="008431F3">
        <w:rPr>
          <w:rFonts w:ascii="Georgia" w:hAnsi="Georgia"/>
          <w:sz w:val="20"/>
          <w:szCs w:val="20"/>
          <w:lang w:val="en-GB"/>
        </w:rPr>
        <w:t xml:space="preserve"> </w:t>
      </w:r>
      <w:r w:rsidR="00F82FF6">
        <w:rPr>
          <w:rFonts w:ascii="Georgia" w:hAnsi="Georgia"/>
          <w:sz w:val="20"/>
          <w:szCs w:val="20"/>
          <w:lang w:val="en-GB"/>
        </w:rPr>
        <w:t xml:space="preserve">is already </w:t>
      </w:r>
      <w:r w:rsidR="00F82FF6">
        <w:rPr>
          <w:rFonts w:ascii="Georgia" w:hAnsi="Georgia"/>
          <w:sz w:val="20"/>
          <w:szCs w:val="20"/>
          <w:lang w:val="en-GB"/>
        </w:rPr>
        <w:lastRenderedPageBreak/>
        <w:t xml:space="preserve">extremely limited </w:t>
      </w:r>
      <w:r w:rsidR="002166F9" w:rsidRPr="008431F3">
        <w:rPr>
          <w:rFonts w:ascii="Georgia" w:hAnsi="Georgia"/>
          <w:sz w:val="20"/>
          <w:szCs w:val="20"/>
          <w:lang w:val="en-GB"/>
        </w:rPr>
        <w:t>in many countries, it would be irresponsible to further</w:t>
      </w:r>
      <w:r w:rsidR="004D2403" w:rsidRPr="008431F3">
        <w:rPr>
          <w:rFonts w:ascii="Georgia" w:hAnsi="Georgia"/>
          <w:sz w:val="20"/>
          <w:szCs w:val="20"/>
          <w:lang w:val="en-GB"/>
        </w:rPr>
        <w:t xml:space="preserve"> curtail</w:t>
      </w:r>
      <w:r w:rsidR="002166F9" w:rsidRPr="008431F3">
        <w:rPr>
          <w:rFonts w:ascii="Georgia" w:hAnsi="Georgia"/>
          <w:sz w:val="20"/>
          <w:szCs w:val="20"/>
          <w:lang w:val="en-GB"/>
        </w:rPr>
        <w:t xml:space="preserve"> the</w:t>
      </w:r>
      <w:r w:rsidR="00225EA5">
        <w:rPr>
          <w:rFonts w:ascii="Georgia" w:hAnsi="Georgia"/>
          <w:sz w:val="20"/>
          <w:szCs w:val="20"/>
          <w:lang w:val="en-GB"/>
        </w:rPr>
        <w:t>se organisations’</w:t>
      </w:r>
      <w:r w:rsidR="002166F9" w:rsidRPr="008431F3">
        <w:rPr>
          <w:rFonts w:ascii="Georgia" w:hAnsi="Georgia"/>
          <w:sz w:val="20"/>
          <w:szCs w:val="20"/>
          <w:lang w:val="en-GB"/>
        </w:rPr>
        <w:t xml:space="preserve"> access to funding</w:t>
      </w:r>
      <w:r w:rsidR="00BB2431" w:rsidRPr="008431F3">
        <w:rPr>
          <w:rFonts w:ascii="Georgia" w:hAnsi="Georgia"/>
          <w:sz w:val="20"/>
          <w:szCs w:val="20"/>
          <w:lang w:val="en-GB"/>
        </w:rPr>
        <w:t>.</w:t>
      </w:r>
      <w:r w:rsidR="002166F9" w:rsidRPr="008431F3">
        <w:rPr>
          <w:rFonts w:ascii="Georgia" w:hAnsi="Georgia"/>
          <w:sz w:val="20"/>
          <w:szCs w:val="20"/>
          <w:lang w:val="en-GB"/>
        </w:rPr>
        <w:t>”</w:t>
      </w:r>
    </w:p>
    <w:p w:rsidR="00BB2431" w:rsidRPr="008431F3" w:rsidRDefault="002166F9" w:rsidP="00BB2431">
      <w:pPr>
        <w:spacing w:before="100" w:beforeAutospacing="1" w:after="100" w:afterAutospacing="1"/>
        <w:outlineLvl w:val="0"/>
        <w:rPr>
          <w:rFonts w:ascii="Georgia" w:hAnsi="Georgia"/>
          <w:b/>
          <w:bCs/>
          <w:kern w:val="36"/>
          <w:sz w:val="20"/>
          <w:szCs w:val="20"/>
          <w:lang w:val="en-GB"/>
        </w:rPr>
      </w:pPr>
      <w:r w:rsidRPr="008431F3">
        <w:rPr>
          <w:rFonts w:ascii="Georgia" w:hAnsi="Georgia"/>
          <w:sz w:val="20"/>
          <w:szCs w:val="20"/>
          <w:lang w:val="en-GB"/>
        </w:rPr>
        <w:t>The German Government should</w:t>
      </w:r>
      <w:r w:rsidR="00F82FF6">
        <w:rPr>
          <w:rFonts w:ascii="Georgia" w:hAnsi="Georgia"/>
          <w:sz w:val="20"/>
          <w:szCs w:val="20"/>
          <w:lang w:val="en-GB"/>
        </w:rPr>
        <w:t xml:space="preserve"> therefore</w:t>
      </w:r>
      <w:r w:rsidRPr="008431F3">
        <w:rPr>
          <w:rFonts w:ascii="Georgia" w:hAnsi="Georgia"/>
          <w:sz w:val="20"/>
          <w:szCs w:val="20"/>
          <w:lang w:val="en-GB"/>
        </w:rPr>
        <w:t xml:space="preserve"> </w:t>
      </w:r>
      <w:r w:rsidR="00F82FF6">
        <w:rPr>
          <w:rFonts w:ascii="Georgia" w:hAnsi="Georgia"/>
          <w:sz w:val="20"/>
          <w:szCs w:val="20"/>
          <w:lang w:val="en-GB"/>
        </w:rPr>
        <w:t>bring influence to bear within the</w:t>
      </w:r>
      <w:r w:rsidRPr="008431F3">
        <w:rPr>
          <w:rFonts w:ascii="Georgia" w:hAnsi="Georgia"/>
          <w:sz w:val="20"/>
          <w:szCs w:val="20"/>
          <w:lang w:val="en-GB"/>
        </w:rPr>
        <w:t xml:space="preserve"> Council of the European Union </w:t>
      </w:r>
      <w:r w:rsidR="00F82FF6">
        <w:rPr>
          <w:rFonts w:ascii="Georgia" w:hAnsi="Georgia"/>
          <w:sz w:val="20"/>
          <w:szCs w:val="20"/>
          <w:lang w:val="en-GB"/>
        </w:rPr>
        <w:t>for these</w:t>
      </w:r>
      <w:r w:rsidRPr="008431F3">
        <w:rPr>
          <w:rFonts w:ascii="Georgia" w:hAnsi="Georgia"/>
          <w:sz w:val="20"/>
          <w:szCs w:val="20"/>
          <w:lang w:val="en-GB"/>
        </w:rPr>
        <w:t xml:space="preserve"> instruments </w:t>
      </w:r>
      <w:r w:rsidR="00F82FF6">
        <w:rPr>
          <w:rFonts w:ascii="Georgia" w:hAnsi="Georgia"/>
          <w:sz w:val="20"/>
          <w:szCs w:val="20"/>
          <w:lang w:val="en-GB"/>
        </w:rPr>
        <w:t xml:space="preserve">to be retained </w:t>
      </w:r>
      <w:r w:rsidRPr="008431F3">
        <w:rPr>
          <w:rFonts w:ascii="Georgia" w:hAnsi="Georgia"/>
          <w:sz w:val="20"/>
          <w:szCs w:val="20"/>
          <w:lang w:val="en-GB"/>
        </w:rPr>
        <w:t xml:space="preserve">as separate </w:t>
      </w:r>
      <w:r w:rsidR="00F82FF6">
        <w:rPr>
          <w:rFonts w:ascii="Georgia" w:hAnsi="Georgia"/>
          <w:sz w:val="20"/>
          <w:szCs w:val="20"/>
          <w:lang w:val="en-GB"/>
        </w:rPr>
        <w:t>funding mechanisms</w:t>
      </w:r>
      <w:r w:rsidRPr="008431F3">
        <w:rPr>
          <w:rFonts w:ascii="Georgia" w:hAnsi="Georgia"/>
          <w:sz w:val="20"/>
          <w:szCs w:val="20"/>
          <w:lang w:val="en-GB"/>
        </w:rPr>
        <w:t xml:space="preserve"> within the MFF. Members of the European Parliament should be lobbying hard for this outcome as well.”</w:t>
      </w:r>
    </w:p>
    <w:p w:rsidR="00A527BC" w:rsidRDefault="00FA6403" w:rsidP="00FA6403">
      <w:pPr>
        <w:rPr>
          <w:rFonts w:ascii="Georgia" w:hAnsi="Georgia"/>
          <w:i/>
          <w:sz w:val="20"/>
          <w:szCs w:val="20"/>
          <w:lang w:val="en-GB"/>
        </w:rPr>
      </w:pPr>
      <w:r w:rsidRPr="00A527BC">
        <w:rPr>
          <w:rFonts w:ascii="Georgia" w:hAnsi="Georgia"/>
          <w:i/>
          <w:sz w:val="20"/>
          <w:szCs w:val="20"/>
          <w:lang w:val="en-GB"/>
        </w:rPr>
        <w:t xml:space="preserve">Dr Martina Fischer </w:t>
      </w:r>
      <w:r w:rsidR="006A168C" w:rsidRPr="00A527BC">
        <w:rPr>
          <w:rFonts w:ascii="Georgia" w:hAnsi="Georgia"/>
          <w:i/>
          <w:sz w:val="20"/>
          <w:szCs w:val="20"/>
          <w:lang w:val="en-GB"/>
        </w:rPr>
        <w:t>is available for interviews</w:t>
      </w:r>
      <w:r w:rsidRPr="00A527BC">
        <w:rPr>
          <w:rFonts w:ascii="Georgia" w:hAnsi="Georgia"/>
          <w:i/>
          <w:sz w:val="20"/>
          <w:szCs w:val="20"/>
          <w:lang w:val="en-GB"/>
        </w:rPr>
        <w:t xml:space="preserve">. </w:t>
      </w:r>
    </w:p>
    <w:p w:rsidR="00FA6403" w:rsidRPr="00A527BC" w:rsidRDefault="002166F9" w:rsidP="00FA6403">
      <w:pPr>
        <w:rPr>
          <w:rFonts w:ascii="Georgia" w:hAnsi="Georgia"/>
          <w:i/>
          <w:sz w:val="20"/>
          <w:szCs w:val="20"/>
          <w:lang w:val="en-GB"/>
        </w:rPr>
      </w:pPr>
      <w:r w:rsidRPr="00A527BC">
        <w:rPr>
          <w:rFonts w:ascii="Georgia" w:hAnsi="Georgia"/>
          <w:i/>
          <w:sz w:val="20"/>
          <w:szCs w:val="20"/>
          <w:lang w:val="en-GB"/>
        </w:rPr>
        <w:t>C</w:t>
      </w:r>
      <w:r w:rsidR="008B2CE6" w:rsidRPr="00A527BC">
        <w:rPr>
          <w:rFonts w:ascii="Georgia" w:hAnsi="Georgia"/>
          <w:i/>
          <w:sz w:val="20"/>
          <w:szCs w:val="20"/>
          <w:lang w:val="en-GB"/>
        </w:rPr>
        <w:t>onta</w:t>
      </w:r>
      <w:r w:rsidRPr="00A527BC">
        <w:rPr>
          <w:rFonts w:ascii="Georgia" w:hAnsi="Georgia"/>
          <w:i/>
          <w:sz w:val="20"/>
          <w:szCs w:val="20"/>
          <w:lang w:val="en-GB"/>
        </w:rPr>
        <w:t>c</w:t>
      </w:r>
      <w:r w:rsidR="008B2CE6" w:rsidRPr="00A527BC">
        <w:rPr>
          <w:rFonts w:ascii="Georgia" w:hAnsi="Georgia"/>
          <w:i/>
          <w:sz w:val="20"/>
          <w:szCs w:val="20"/>
          <w:lang w:val="en-GB"/>
        </w:rPr>
        <w:t>t: martina.fischer@brot-fuer-die-welt.de</w:t>
      </w:r>
    </w:p>
    <w:p w:rsidR="008B2CE6" w:rsidRDefault="008B2CE6" w:rsidP="00BB2431">
      <w:pPr>
        <w:spacing w:before="100" w:beforeAutospacing="1" w:after="100" w:afterAutospacing="1"/>
        <w:outlineLvl w:val="0"/>
        <w:rPr>
          <w:b/>
          <w:bCs/>
          <w:kern w:val="36"/>
          <w:lang w:val="en-GB"/>
        </w:rPr>
      </w:pPr>
    </w:p>
    <w:p w:rsidR="00A527BC" w:rsidRPr="008431F3" w:rsidRDefault="00A527BC" w:rsidP="00BB2431">
      <w:pPr>
        <w:spacing w:before="100" w:beforeAutospacing="1" w:after="100" w:afterAutospacing="1"/>
        <w:outlineLvl w:val="0"/>
        <w:rPr>
          <w:b/>
          <w:bCs/>
          <w:kern w:val="36"/>
          <w:lang w:val="en-GB"/>
        </w:rPr>
      </w:pPr>
      <w:r w:rsidRPr="008431F3">
        <w:rPr>
          <w:rFonts w:ascii="Georgia" w:hAnsi="Georgia"/>
          <w:b/>
          <w:bCs/>
          <w:kern w:val="36"/>
          <w:sz w:val="20"/>
          <w:szCs w:val="20"/>
          <w:lang w:val="en-GB"/>
        </w:rPr>
        <w:t>****************</w:t>
      </w:r>
    </w:p>
    <w:p w:rsidR="00305E13" w:rsidRDefault="00305E13" w:rsidP="00BB2431">
      <w:pPr>
        <w:spacing w:before="100" w:beforeAutospacing="1" w:after="100" w:afterAutospacing="1"/>
        <w:outlineLvl w:val="0"/>
        <w:rPr>
          <w:rFonts w:ascii="Georgia" w:hAnsi="Georgia"/>
          <w:b/>
          <w:bCs/>
          <w:kern w:val="36"/>
          <w:sz w:val="20"/>
          <w:szCs w:val="20"/>
          <w:lang w:val="en-GB"/>
        </w:rPr>
      </w:pPr>
    </w:p>
    <w:p w:rsidR="00B77C58" w:rsidRDefault="00B77C58" w:rsidP="00BB2431">
      <w:pPr>
        <w:spacing w:before="100" w:beforeAutospacing="1" w:after="100" w:afterAutospacing="1"/>
        <w:outlineLvl w:val="0"/>
        <w:rPr>
          <w:rFonts w:ascii="Georgia" w:hAnsi="Georgia"/>
          <w:b/>
          <w:bCs/>
          <w:kern w:val="36"/>
          <w:sz w:val="20"/>
          <w:szCs w:val="20"/>
          <w:lang w:val="en-GB"/>
        </w:rPr>
      </w:pPr>
    </w:p>
    <w:p w:rsidR="00B77C58" w:rsidRDefault="00B77C58" w:rsidP="00BB2431">
      <w:pPr>
        <w:spacing w:before="100" w:beforeAutospacing="1" w:after="100" w:afterAutospacing="1"/>
        <w:outlineLvl w:val="0"/>
        <w:rPr>
          <w:rFonts w:ascii="Georgia" w:hAnsi="Georgia"/>
          <w:b/>
          <w:bCs/>
          <w:kern w:val="36"/>
          <w:sz w:val="20"/>
          <w:szCs w:val="20"/>
          <w:lang w:val="en-GB"/>
        </w:rPr>
      </w:pPr>
    </w:p>
    <w:p w:rsidR="00BB2431" w:rsidRPr="008431F3" w:rsidRDefault="004D2403" w:rsidP="00BB2431">
      <w:pPr>
        <w:spacing w:before="100" w:beforeAutospacing="1" w:after="100" w:afterAutospacing="1"/>
        <w:outlineLvl w:val="0"/>
        <w:rPr>
          <w:rFonts w:ascii="Georgia" w:hAnsi="Georgia"/>
          <w:b/>
          <w:bCs/>
          <w:kern w:val="36"/>
          <w:sz w:val="20"/>
          <w:szCs w:val="20"/>
          <w:lang w:val="en-GB"/>
        </w:rPr>
      </w:pPr>
      <w:r w:rsidRPr="008431F3">
        <w:rPr>
          <w:rFonts w:ascii="Georgia" w:hAnsi="Georgia"/>
          <w:b/>
          <w:bCs/>
          <w:kern w:val="36"/>
          <w:sz w:val="20"/>
          <w:szCs w:val="20"/>
          <w:lang w:val="en-GB"/>
        </w:rPr>
        <w:t>Background</w:t>
      </w:r>
      <w:r w:rsidR="00BB2431" w:rsidRPr="008431F3">
        <w:rPr>
          <w:rFonts w:ascii="Georgia" w:hAnsi="Georgia"/>
          <w:b/>
          <w:bCs/>
          <w:kern w:val="36"/>
          <w:sz w:val="20"/>
          <w:szCs w:val="20"/>
          <w:lang w:val="en-GB"/>
        </w:rPr>
        <w:t xml:space="preserve"> / Factsheet</w:t>
      </w:r>
    </w:p>
    <w:p w:rsidR="00BB2431" w:rsidRPr="008431F3" w:rsidRDefault="004D2403" w:rsidP="00BB2431">
      <w:pPr>
        <w:spacing w:before="100" w:beforeAutospacing="1" w:after="100" w:afterAutospacing="1"/>
        <w:outlineLvl w:val="0"/>
        <w:rPr>
          <w:rFonts w:ascii="Georgia" w:hAnsi="Georgia"/>
          <w:b/>
          <w:bCs/>
          <w:kern w:val="36"/>
          <w:sz w:val="20"/>
          <w:szCs w:val="20"/>
          <w:lang w:val="en-GB"/>
        </w:rPr>
      </w:pPr>
      <w:r w:rsidRPr="008431F3">
        <w:rPr>
          <w:rFonts w:ascii="Georgia" w:hAnsi="Georgia"/>
          <w:b/>
          <w:bCs/>
          <w:kern w:val="36"/>
          <w:sz w:val="20"/>
          <w:szCs w:val="20"/>
          <w:lang w:val="en-GB"/>
        </w:rPr>
        <w:t>Multiannual Financial Framework (MFF)</w:t>
      </w:r>
    </w:p>
    <w:p w:rsidR="00BB2431" w:rsidRPr="00A112CE" w:rsidRDefault="004D2403" w:rsidP="00BB2431">
      <w:pPr>
        <w:spacing w:before="100" w:beforeAutospacing="1" w:after="100" w:afterAutospacing="1"/>
        <w:outlineLvl w:val="0"/>
        <w:rPr>
          <w:rFonts w:ascii="Georgia" w:hAnsi="Georgia"/>
          <w:sz w:val="20"/>
          <w:szCs w:val="20"/>
          <w:lang w:val="en-GB"/>
        </w:rPr>
      </w:pPr>
      <w:r w:rsidRPr="008431F3">
        <w:rPr>
          <w:rFonts w:ascii="Georgia" w:hAnsi="Georgia"/>
          <w:sz w:val="20"/>
          <w:szCs w:val="20"/>
          <w:lang w:val="en-GB"/>
        </w:rPr>
        <w:t xml:space="preserve">With the </w:t>
      </w:r>
      <w:r w:rsidR="00BB2431" w:rsidRPr="008431F3">
        <w:rPr>
          <w:rFonts w:ascii="Georgia" w:hAnsi="Georgia"/>
          <w:sz w:val="20"/>
          <w:szCs w:val="20"/>
          <w:lang w:val="en-GB"/>
        </w:rPr>
        <w:t>Multiannual Financial Framework</w:t>
      </w:r>
      <w:r w:rsidRPr="008431F3">
        <w:rPr>
          <w:rFonts w:ascii="Georgia" w:hAnsi="Georgia"/>
          <w:sz w:val="20"/>
          <w:szCs w:val="20"/>
          <w:lang w:val="en-GB"/>
        </w:rPr>
        <w:t xml:space="preserve"> (</w:t>
      </w:r>
      <w:r w:rsidR="00BB2431" w:rsidRPr="008431F3">
        <w:rPr>
          <w:rFonts w:ascii="Georgia" w:hAnsi="Georgia"/>
          <w:sz w:val="20"/>
          <w:szCs w:val="20"/>
          <w:lang w:val="en-GB"/>
        </w:rPr>
        <w:t>MFF)</w:t>
      </w:r>
      <w:r w:rsidRPr="008431F3">
        <w:rPr>
          <w:rFonts w:ascii="Georgia" w:hAnsi="Georgia"/>
          <w:sz w:val="20"/>
          <w:szCs w:val="20"/>
          <w:lang w:val="en-GB"/>
        </w:rPr>
        <w:t>, the EU member states decide how much money they wish to provide for Community tasks over a given period and how much should be spent, as a maximum, on the various policy areas.</w:t>
      </w:r>
      <w:r w:rsidR="00A112CE">
        <w:rPr>
          <w:rFonts w:ascii="Georgia" w:hAnsi="Georgia"/>
          <w:sz w:val="20"/>
          <w:szCs w:val="20"/>
          <w:lang w:val="en-GB"/>
        </w:rPr>
        <w:t xml:space="preserve"> </w:t>
      </w:r>
      <w:r w:rsidRPr="008431F3">
        <w:rPr>
          <w:rFonts w:ascii="Georgia" w:hAnsi="Georgia"/>
          <w:sz w:val="20"/>
          <w:szCs w:val="20"/>
          <w:lang w:val="en-GB"/>
        </w:rPr>
        <w:t>On</w:t>
      </w:r>
      <w:r w:rsidR="00A112CE">
        <w:rPr>
          <w:rFonts w:ascii="Georgia" w:hAnsi="Georgia"/>
          <w:sz w:val="20"/>
          <w:szCs w:val="20"/>
          <w:lang w:val="en-GB"/>
        </w:rPr>
        <w:t xml:space="preserve"> </w:t>
      </w:r>
      <w:r w:rsidRPr="008431F3">
        <w:rPr>
          <w:rFonts w:ascii="Georgia" w:hAnsi="Georgia"/>
          <w:sz w:val="20"/>
          <w:szCs w:val="20"/>
          <w:lang w:val="en-GB"/>
        </w:rPr>
        <w:t>2 May</w:t>
      </w:r>
      <w:r w:rsidR="00F82FF6">
        <w:rPr>
          <w:rFonts w:ascii="Georgia" w:hAnsi="Georgia"/>
          <w:sz w:val="20"/>
          <w:szCs w:val="20"/>
          <w:lang w:val="en-GB"/>
        </w:rPr>
        <w:t xml:space="preserve"> 2018</w:t>
      </w:r>
      <w:r w:rsidRPr="008431F3">
        <w:rPr>
          <w:rFonts w:ascii="Georgia" w:hAnsi="Georgia"/>
          <w:sz w:val="20"/>
          <w:szCs w:val="20"/>
          <w:lang w:val="en-GB"/>
        </w:rPr>
        <w:t xml:space="preserve">, Commission President </w:t>
      </w:r>
      <w:r w:rsidR="00BB2431" w:rsidRPr="008431F3">
        <w:rPr>
          <w:rFonts w:ascii="Georgia" w:hAnsi="Georgia"/>
          <w:sz w:val="20"/>
          <w:szCs w:val="20"/>
          <w:lang w:val="en-GB"/>
        </w:rPr>
        <w:t xml:space="preserve">Jean-Claude Juncker </w:t>
      </w:r>
      <w:r w:rsidRPr="008431F3">
        <w:rPr>
          <w:rFonts w:ascii="Georgia" w:hAnsi="Georgia"/>
          <w:sz w:val="20"/>
          <w:szCs w:val="20"/>
          <w:lang w:val="en-GB"/>
        </w:rPr>
        <w:t>a</w:t>
      </w:r>
      <w:r w:rsidR="00BB2431" w:rsidRPr="008431F3">
        <w:rPr>
          <w:rFonts w:ascii="Georgia" w:hAnsi="Georgia"/>
          <w:sz w:val="20"/>
          <w:szCs w:val="20"/>
          <w:lang w:val="en-GB"/>
        </w:rPr>
        <w:t xml:space="preserve">nd </w:t>
      </w:r>
      <w:r w:rsidRPr="008431F3">
        <w:rPr>
          <w:rFonts w:ascii="Georgia" w:hAnsi="Georgia"/>
          <w:sz w:val="20"/>
          <w:szCs w:val="20"/>
          <w:lang w:val="en-GB"/>
        </w:rPr>
        <w:t>Budget Commissioner</w:t>
      </w:r>
      <w:r w:rsidR="00A112CE">
        <w:rPr>
          <w:rFonts w:ascii="Georgia" w:hAnsi="Georgia"/>
          <w:sz w:val="20"/>
          <w:szCs w:val="20"/>
          <w:lang w:val="en-GB"/>
        </w:rPr>
        <w:t xml:space="preserve"> </w:t>
      </w:r>
      <w:r w:rsidR="00BB2431" w:rsidRPr="008431F3">
        <w:rPr>
          <w:rFonts w:ascii="Georgia" w:hAnsi="Georgia"/>
          <w:sz w:val="20"/>
          <w:szCs w:val="20"/>
          <w:lang w:val="en-GB"/>
        </w:rPr>
        <w:t xml:space="preserve">Günther Oettinger </w:t>
      </w:r>
      <w:r w:rsidRPr="008431F3">
        <w:rPr>
          <w:rFonts w:ascii="Georgia" w:hAnsi="Georgia"/>
          <w:sz w:val="20"/>
          <w:szCs w:val="20"/>
          <w:lang w:val="en-GB"/>
        </w:rPr>
        <w:t>unveiled their proposals for the next EU budget post-2020</w:t>
      </w:r>
      <w:r w:rsidR="00A112CE">
        <w:rPr>
          <w:rFonts w:ascii="Georgia" w:hAnsi="Georgia"/>
          <w:sz w:val="20"/>
          <w:szCs w:val="20"/>
          <w:lang w:val="en-GB"/>
        </w:rPr>
        <w:t xml:space="preserve"> </w:t>
      </w:r>
      <w:hyperlink r:id="rId10" w:history="1">
        <w:r w:rsidR="00BB2431" w:rsidRPr="008431F3">
          <w:rPr>
            <w:rFonts w:ascii="Georgia" w:hAnsi="Georgia"/>
            <w:color w:val="0000FF"/>
            <w:sz w:val="20"/>
            <w:szCs w:val="20"/>
            <w:u w:val="single"/>
            <w:lang w:val="en-GB"/>
          </w:rPr>
          <w:t>(</w:t>
        </w:r>
        <w:r w:rsidRPr="008431F3">
          <w:rPr>
            <w:rFonts w:ascii="Georgia" w:hAnsi="Georgia"/>
            <w:color w:val="0000FF"/>
            <w:sz w:val="20"/>
            <w:szCs w:val="20"/>
            <w:u w:val="single"/>
            <w:lang w:val="en-GB"/>
          </w:rPr>
          <w:t>Communication from the C</w:t>
        </w:r>
        <w:r w:rsidR="00BB2431" w:rsidRPr="008431F3">
          <w:rPr>
            <w:rFonts w:ascii="Georgia" w:hAnsi="Georgia"/>
            <w:color w:val="0000FF"/>
            <w:sz w:val="20"/>
            <w:szCs w:val="20"/>
            <w:u w:val="single"/>
            <w:lang w:val="en-GB"/>
          </w:rPr>
          <w:t>ommission)</w:t>
        </w:r>
      </w:hyperlink>
      <w:r w:rsidR="00BB2431" w:rsidRPr="008431F3">
        <w:rPr>
          <w:rFonts w:ascii="Georgia" w:hAnsi="Georgia"/>
          <w:sz w:val="20"/>
          <w:szCs w:val="20"/>
          <w:lang w:val="en-GB"/>
        </w:rPr>
        <w:t xml:space="preserve">. </w:t>
      </w:r>
      <w:r w:rsidR="00FB2893" w:rsidRPr="00A527BC">
        <w:rPr>
          <w:rFonts w:ascii="Georgia" w:hAnsi="Georgia"/>
          <w:sz w:val="20"/>
          <w:szCs w:val="20"/>
          <w:lang w:val="en-GB"/>
        </w:rPr>
        <w:t xml:space="preserve">The Commission </w:t>
      </w:r>
      <w:r w:rsidR="00F82FF6" w:rsidRPr="00A527BC">
        <w:rPr>
          <w:rFonts w:ascii="Georgia" w:hAnsi="Georgia"/>
          <w:sz w:val="20"/>
          <w:szCs w:val="20"/>
          <w:lang w:val="en-GB"/>
        </w:rPr>
        <w:t>recognises that</w:t>
      </w:r>
      <w:r w:rsidR="00FB2893" w:rsidRPr="00A527BC">
        <w:rPr>
          <w:rFonts w:ascii="Georgia" w:hAnsi="Georgia"/>
          <w:sz w:val="20"/>
          <w:szCs w:val="20"/>
          <w:lang w:val="en-GB"/>
        </w:rPr>
        <w:t xml:space="preserve"> more money </w:t>
      </w:r>
      <w:r w:rsidR="00F82FF6" w:rsidRPr="00A527BC">
        <w:rPr>
          <w:rFonts w:ascii="Georgia" w:hAnsi="Georgia"/>
          <w:sz w:val="20"/>
          <w:szCs w:val="20"/>
          <w:lang w:val="en-GB"/>
        </w:rPr>
        <w:t xml:space="preserve">must </w:t>
      </w:r>
      <w:r w:rsidR="00E87D61" w:rsidRPr="00A527BC">
        <w:rPr>
          <w:rFonts w:ascii="Georgia" w:hAnsi="Georgia"/>
          <w:sz w:val="20"/>
          <w:szCs w:val="20"/>
          <w:lang w:val="en-GB"/>
        </w:rPr>
        <w:t>be</w:t>
      </w:r>
      <w:r w:rsidR="00FB2893" w:rsidRPr="00A527BC">
        <w:rPr>
          <w:rFonts w:ascii="Georgia" w:hAnsi="Georgia"/>
          <w:sz w:val="20"/>
          <w:szCs w:val="20"/>
          <w:lang w:val="en-GB"/>
        </w:rPr>
        <w:t xml:space="preserve"> provided by fewer member states for th</w:t>
      </w:r>
      <w:r w:rsidR="00F82FF6" w:rsidRPr="00A527BC">
        <w:rPr>
          <w:rFonts w:ascii="Georgia" w:hAnsi="Georgia"/>
          <w:sz w:val="20"/>
          <w:szCs w:val="20"/>
          <w:lang w:val="en-GB"/>
        </w:rPr>
        <w:t>is</w:t>
      </w:r>
      <w:r w:rsidR="00FB2893" w:rsidRPr="00A527BC">
        <w:rPr>
          <w:rFonts w:ascii="Georgia" w:hAnsi="Georgia"/>
          <w:sz w:val="20"/>
          <w:szCs w:val="20"/>
          <w:lang w:val="en-GB"/>
        </w:rPr>
        <w:t xml:space="preserve"> Community budget.</w:t>
      </w:r>
      <w:r w:rsidR="00FB2893" w:rsidRPr="008431F3">
        <w:rPr>
          <w:rFonts w:ascii="Georgia" w:hAnsi="Georgia"/>
          <w:sz w:val="20"/>
          <w:szCs w:val="20"/>
          <w:lang w:val="en-GB"/>
        </w:rPr>
        <w:t xml:space="preserve"> A new</w:t>
      </w:r>
      <w:r w:rsidR="00BB2431" w:rsidRPr="008431F3">
        <w:rPr>
          <w:rFonts w:ascii="Georgia" w:hAnsi="Georgia"/>
          <w:sz w:val="20"/>
          <w:szCs w:val="20"/>
          <w:lang w:val="en-GB"/>
        </w:rPr>
        <w:t xml:space="preserve"> </w:t>
      </w:r>
      <w:r w:rsidR="00FB2893" w:rsidRPr="008431F3">
        <w:rPr>
          <w:rFonts w:ascii="Georgia" w:hAnsi="Georgia"/>
          <w:sz w:val="20"/>
          <w:szCs w:val="20"/>
          <w:lang w:val="en-GB"/>
        </w:rPr>
        <w:t xml:space="preserve">Neighbourhood, Development and International Cooperation Instrument will absorb the tried and tested </w:t>
      </w:r>
      <w:r w:rsidR="00E87D61" w:rsidRPr="008431F3">
        <w:rPr>
          <w:rFonts w:ascii="Georgia" w:hAnsi="Georgia"/>
          <w:sz w:val="20"/>
          <w:szCs w:val="20"/>
          <w:lang w:val="en-GB"/>
        </w:rPr>
        <w:t>instruments</w:t>
      </w:r>
      <w:r w:rsidR="00FB2893" w:rsidRPr="008431F3">
        <w:rPr>
          <w:rFonts w:ascii="Georgia" w:hAnsi="Georgia"/>
          <w:sz w:val="20"/>
          <w:szCs w:val="20"/>
          <w:lang w:val="en-GB"/>
        </w:rPr>
        <w:t xml:space="preserve"> for human rights and democracy, stability and peace </w:t>
      </w:r>
      <w:r w:rsidR="00396CAF">
        <w:rPr>
          <w:rFonts w:ascii="Georgia" w:hAnsi="Georgia"/>
          <w:sz w:val="20"/>
          <w:szCs w:val="20"/>
          <w:lang w:val="en-GB"/>
        </w:rPr>
        <w:t>and aim to control</w:t>
      </w:r>
      <w:r w:rsidR="00FB2893" w:rsidRPr="008431F3">
        <w:rPr>
          <w:rFonts w:ascii="Georgia" w:hAnsi="Georgia"/>
          <w:sz w:val="20"/>
          <w:szCs w:val="20"/>
          <w:lang w:val="en-GB"/>
        </w:rPr>
        <w:t xml:space="preserve"> migration.</w:t>
      </w:r>
      <w:r w:rsidR="00A112CE">
        <w:rPr>
          <w:rFonts w:ascii="Georgia" w:hAnsi="Georgia"/>
          <w:sz w:val="20"/>
          <w:szCs w:val="20"/>
          <w:lang w:val="en-GB"/>
        </w:rPr>
        <w:t xml:space="preserve"> </w:t>
      </w:r>
      <w:r w:rsidR="00FB2893" w:rsidRPr="008431F3">
        <w:rPr>
          <w:rFonts w:ascii="Georgia" w:hAnsi="Georgia"/>
          <w:sz w:val="20"/>
          <w:szCs w:val="20"/>
          <w:lang w:val="en-GB"/>
        </w:rPr>
        <w:t>The Commission proposes that the 2021-2027 MFF should amount to €1</w:t>
      </w:r>
      <w:r w:rsidR="00E87D61" w:rsidRPr="008431F3">
        <w:rPr>
          <w:rFonts w:ascii="Georgia" w:hAnsi="Georgia"/>
          <w:sz w:val="20"/>
          <w:szCs w:val="20"/>
          <w:lang w:val="en-GB"/>
        </w:rPr>
        <w:t>,</w:t>
      </w:r>
      <w:r w:rsidR="00FB2893" w:rsidRPr="008431F3">
        <w:rPr>
          <w:rFonts w:ascii="Georgia" w:hAnsi="Georgia"/>
          <w:sz w:val="20"/>
          <w:szCs w:val="20"/>
          <w:lang w:val="en-GB"/>
        </w:rPr>
        <w:t xml:space="preserve">279 billion (when inflation is stripped out, </w:t>
      </w:r>
      <w:r w:rsidR="00F82FF6">
        <w:rPr>
          <w:rFonts w:ascii="Georgia" w:hAnsi="Georgia"/>
          <w:sz w:val="20"/>
          <w:szCs w:val="20"/>
          <w:lang w:val="en-GB"/>
        </w:rPr>
        <w:t xml:space="preserve">this is </w:t>
      </w:r>
      <w:r w:rsidR="00FB2893" w:rsidRPr="008431F3">
        <w:rPr>
          <w:rFonts w:ascii="Georgia" w:hAnsi="Georgia"/>
          <w:sz w:val="20"/>
          <w:szCs w:val="20"/>
          <w:lang w:val="en-GB"/>
        </w:rPr>
        <w:t>equivalent to €1</w:t>
      </w:r>
      <w:r w:rsidR="00E87D61" w:rsidRPr="008431F3">
        <w:rPr>
          <w:rFonts w:ascii="Georgia" w:hAnsi="Georgia"/>
          <w:sz w:val="20"/>
          <w:szCs w:val="20"/>
          <w:lang w:val="en-GB"/>
        </w:rPr>
        <w:t>,</w:t>
      </w:r>
      <w:r w:rsidR="00FB2893" w:rsidRPr="008431F3">
        <w:rPr>
          <w:rFonts w:ascii="Georgia" w:hAnsi="Georgia"/>
          <w:sz w:val="20"/>
          <w:szCs w:val="20"/>
          <w:lang w:val="en-GB"/>
        </w:rPr>
        <w:t>135 billion for 2021-2027 in 2018 prices)</w:t>
      </w:r>
      <w:r w:rsidR="00E87D61" w:rsidRPr="008431F3">
        <w:rPr>
          <w:rFonts w:ascii="Georgia" w:hAnsi="Georgia"/>
          <w:sz w:val="20"/>
          <w:szCs w:val="20"/>
          <w:lang w:val="en-GB"/>
        </w:rPr>
        <w:t xml:space="preserve"> –</w:t>
      </w:r>
      <w:r w:rsidR="00BB2431" w:rsidRPr="008431F3">
        <w:rPr>
          <w:rFonts w:ascii="Georgia" w:hAnsi="Georgia"/>
          <w:sz w:val="20"/>
          <w:szCs w:val="20"/>
          <w:lang w:val="en-GB"/>
        </w:rPr>
        <w:t xml:space="preserve"> €</w:t>
      </w:r>
      <w:r w:rsidR="00FB2893" w:rsidRPr="008431F3">
        <w:rPr>
          <w:rFonts w:ascii="Georgia" w:hAnsi="Georgia"/>
          <w:sz w:val="20"/>
          <w:szCs w:val="20"/>
          <w:lang w:val="en-GB"/>
        </w:rPr>
        <w:t>186</w:t>
      </w:r>
      <w:r w:rsidR="00E87D61" w:rsidRPr="008431F3">
        <w:rPr>
          <w:rFonts w:ascii="Georgia" w:hAnsi="Georgia"/>
          <w:sz w:val="20"/>
          <w:szCs w:val="20"/>
          <w:lang w:val="en-GB"/>
        </w:rPr>
        <w:t>,</w:t>
      </w:r>
      <w:r w:rsidR="00FB2893" w:rsidRPr="008431F3">
        <w:rPr>
          <w:rFonts w:ascii="Georgia" w:hAnsi="Georgia"/>
          <w:sz w:val="20"/>
          <w:szCs w:val="20"/>
          <w:lang w:val="en-GB"/>
        </w:rPr>
        <w:t>000 million</w:t>
      </w:r>
      <w:r w:rsidR="00BB2431" w:rsidRPr="008431F3">
        <w:rPr>
          <w:rFonts w:ascii="Georgia" w:hAnsi="Georgia"/>
          <w:sz w:val="20"/>
          <w:szCs w:val="20"/>
          <w:lang w:val="en-GB"/>
        </w:rPr>
        <w:t xml:space="preserve"> (</w:t>
      </w:r>
      <w:r w:rsidR="00FB2893" w:rsidRPr="008431F3">
        <w:rPr>
          <w:rFonts w:ascii="Georgia" w:hAnsi="Georgia"/>
          <w:sz w:val="20"/>
          <w:szCs w:val="20"/>
          <w:lang w:val="en-GB"/>
        </w:rPr>
        <w:t>approx</w:t>
      </w:r>
      <w:r w:rsidR="00BB2431" w:rsidRPr="008431F3">
        <w:rPr>
          <w:rFonts w:ascii="Georgia" w:hAnsi="Georgia"/>
          <w:sz w:val="20"/>
          <w:szCs w:val="20"/>
          <w:lang w:val="en-GB"/>
        </w:rPr>
        <w:t xml:space="preserve">. 11 %) </w:t>
      </w:r>
      <w:r w:rsidR="00FB2893" w:rsidRPr="008431F3">
        <w:rPr>
          <w:rFonts w:ascii="Georgia" w:hAnsi="Georgia"/>
          <w:sz w:val="20"/>
          <w:szCs w:val="20"/>
          <w:lang w:val="en-GB"/>
        </w:rPr>
        <w:t xml:space="preserve">more than was agreed </w:t>
      </w:r>
      <w:r w:rsidR="00F82FF6">
        <w:rPr>
          <w:rFonts w:ascii="Georgia" w:hAnsi="Georgia"/>
          <w:sz w:val="20"/>
          <w:szCs w:val="20"/>
          <w:lang w:val="en-GB"/>
        </w:rPr>
        <w:t>in</w:t>
      </w:r>
      <w:r w:rsidR="00FB2893" w:rsidRPr="008431F3">
        <w:rPr>
          <w:rFonts w:ascii="Georgia" w:hAnsi="Georgia"/>
          <w:sz w:val="20"/>
          <w:szCs w:val="20"/>
          <w:lang w:val="en-GB"/>
        </w:rPr>
        <w:t xml:space="preserve"> the MFF for</w:t>
      </w:r>
      <w:r w:rsidR="00BB2431" w:rsidRPr="008431F3">
        <w:rPr>
          <w:rFonts w:ascii="Georgia" w:hAnsi="Georgia"/>
          <w:sz w:val="20"/>
          <w:szCs w:val="20"/>
          <w:lang w:val="en-GB"/>
        </w:rPr>
        <w:t xml:space="preserve"> 2014-2020. </w:t>
      </w:r>
      <w:r w:rsidR="00FB2893" w:rsidRPr="008431F3">
        <w:rPr>
          <w:rFonts w:ascii="Georgia" w:hAnsi="Georgia"/>
          <w:sz w:val="20"/>
          <w:szCs w:val="20"/>
          <w:lang w:val="en-GB"/>
        </w:rPr>
        <w:t xml:space="preserve">Due to the different </w:t>
      </w:r>
      <w:r w:rsidR="00FB2893" w:rsidRPr="00396CAF">
        <w:rPr>
          <w:rFonts w:ascii="Georgia" w:hAnsi="Georgia"/>
          <w:sz w:val="20"/>
          <w:szCs w:val="20"/>
          <w:lang w:val="en-GB"/>
        </w:rPr>
        <w:t xml:space="preserve">calculation methods but also </w:t>
      </w:r>
      <w:r w:rsidR="002F4E36" w:rsidRPr="00396CAF">
        <w:rPr>
          <w:rFonts w:ascii="Georgia" w:hAnsi="Georgia"/>
          <w:sz w:val="20"/>
          <w:szCs w:val="20"/>
          <w:lang w:val="en-GB"/>
        </w:rPr>
        <w:t>as a result of</w:t>
      </w:r>
      <w:r w:rsidR="00FB2893" w:rsidRPr="00396CAF">
        <w:rPr>
          <w:rFonts w:ascii="Georgia" w:hAnsi="Georgia"/>
          <w:sz w:val="20"/>
          <w:szCs w:val="20"/>
          <w:lang w:val="en-GB"/>
        </w:rPr>
        <w:t xml:space="preserve"> the restructuring of the budget </w:t>
      </w:r>
      <w:r w:rsidR="00A02ED9" w:rsidRPr="00396CAF">
        <w:rPr>
          <w:rFonts w:ascii="Georgia" w:hAnsi="Georgia"/>
          <w:sz w:val="20"/>
          <w:szCs w:val="20"/>
          <w:lang w:val="en-GB"/>
        </w:rPr>
        <w:t>headings</w:t>
      </w:r>
      <w:r w:rsidR="00FB2893" w:rsidRPr="00396CAF">
        <w:rPr>
          <w:rFonts w:ascii="Georgia" w:hAnsi="Georgia"/>
          <w:sz w:val="20"/>
          <w:szCs w:val="20"/>
          <w:lang w:val="en-GB"/>
        </w:rPr>
        <w:t xml:space="preserve"> by the</w:t>
      </w:r>
      <w:r w:rsidR="00FB2893" w:rsidRPr="008431F3">
        <w:rPr>
          <w:rFonts w:ascii="Georgia" w:hAnsi="Georgia"/>
          <w:sz w:val="20"/>
          <w:szCs w:val="20"/>
          <w:lang w:val="en-GB"/>
        </w:rPr>
        <w:t xml:space="preserve"> Commission, direct comparison </w:t>
      </w:r>
      <w:r w:rsidR="00A02ED9">
        <w:rPr>
          <w:rFonts w:ascii="Georgia" w:hAnsi="Georgia"/>
          <w:sz w:val="20"/>
          <w:szCs w:val="20"/>
          <w:lang w:val="en-GB"/>
        </w:rPr>
        <w:t>of the proposed items with</w:t>
      </w:r>
      <w:r w:rsidR="00FB2893" w:rsidRPr="008431F3">
        <w:rPr>
          <w:rFonts w:ascii="Georgia" w:hAnsi="Georgia"/>
          <w:sz w:val="20"/>
          <w:szCs w:val="20"/>
          <w:lang w:val="en-GB"/>
        </w:rPr>
        <w:t xml:space="preserve"> </w:t>
      </w:r>
      <w:r w:rsidR="00FB2893" w:rsidRPr="00A112CE">
        <w:rPr>
          <w:rFonts w:ascii="Georgia" w:hAnsi="Georgia"/>
          <w:sz w:val="20"/>
          <w:szCs w:val="20"/>
          <w:lang w:val="en-GB"/>
        </w:rPr>
        <w:t xml:space="preserve">those </w:t>
      </w:r>
      <w:r w:rsidR="00A112CE">
        <w:rPr>
          <w:rFonts w:ascii="Georgia" w:hAnsi="Georgia"/>
          <w:sz w:val="20"/>
          <w:szCs w:val="20"/>
          <w:lang w:val="en-GB"/>
        </w:rPr>
        <w:t>adopted for</w:t>
      </w:r>
      <w:r w:rsidR="00FB2893" w:rsidRPr="00A112CE">
        <w:rPr>
          <w:rFonts w:ascii="Georgia" w:hAnsi="Georgia"/>
          <w:sz w:val="20"/>
          <w:szCs w:val="20"/>
          <w:lang w:val="en-GB"/>
        </w:rPr>
        <w:t xml:space="preserve"> the current funding period is almost impossible.</w:t>
      </w:r>
      <w:r w:rsidR="00A112CE">
        <w:rPr>
          <w:rFonts w:ascii="Georgia" w:hAnsi="Georgia"/>
          <w:sz w:val="20"/>
          <w:szCs w:val="20"/>
          <w:lang w:val="en-GB"/>
        </w:rPr>
        <w:t xml:space="preserve"> </w:t>
      </w:r>
    </w:p>
    <w:p w:rsidR="00BB2431" w:rsidRPr="00A112CE" w:rsidRDefault="002F4E36" w:rsidP="00BB2431">
      <w:pPr>
        <w:spacing w:before="100" w:beforeAutospacing="1" w:after="100" w:afterAutospacing="1"/>
        <w:rPr>
          <w:rFonts w:ascii="Georgia" w:hAnsi="Georgia"/>
          <w:sz w:val="20"/>
          <w:szCs w:val="20"/>
          <w:lang w:val="en-GB"/>
        </w:rPr>
      </w:pPr>
      <w:r w:rsidRPr="00A112CE">
        <w:rPr>
          <w:rFonts w:ascii="Georgia" w:hAnsi="Georgia"/>
          <w:sz w:val="20"/>
          <w:szCs w:val="20"/>
          <w:lang w:val="en-GB"/>
        </w:rPr>
        <w:t xml:space="preserve">According to the Commission’s calculations, more funding will be provided to strengthen the EU’s external borders </w:t>
      </w:r>
      <w:r w:rsidR="00BB2431" w:rsidRPr="00A112CE">
        <w:rPr>
          <w:rFonts w:ascii="Georgia" w:hAnsi="Georgia"/>
          <w:sz w:val="20"/>
          <w:szCs w:val="20"/>
          <w:lang w:val="en-GB"/>
        </w:rPr>
        <w:t>(</w:t>
      </w:r>
      <w:r w:rsidRPr="00A112CE">
        <w:rPr>
          <w:rFonts w:ascii="Georgia" w:hAnsi="Georgia"/>
          <w:sz w:val="20"/>
          <w:szCs w:val="20"/>
          <w:lang w:val="en-GB"/>
        </w:rPr>
        <w:t>the number of staff employed by the European Border and Coast Guard</w:t>
      </w:r>
      <w:r w:rsidR="00A02ED9" w:rsidRPr="00A112CE">
        <w:rPr>
          <w:rFonts w:ascii="Georgia" w:hAnsi="Georgia"/>
          <w:sz w:val="20"/>
          <w:szCs w:val="20"/>
          <w:lang w:val="en-GB"/>
        </w:rPr>
        <w:t xml:space="preserve"> Agency</w:t>
      </w:r>
      <w:r w:rsidR="00A527BC">
        <w:rPr>
          <w:rFonts w:ascii="Georgia" w:hAnsi="Georgia"/>
          <w:sz w:val="20"/>
          <w:szCs w:val="20"/>
          <w:lang w:val="en-GB"/>
        </w:rPr>
        <w:t xml:space="preserve"> FRONTEX</w:t>
      </w:r>
      <w:r w:rsidRPr="00A112CE">
        <w:rPr>
          <w:rFonts w:ascii="Georgia" w:hAnsi="Georgia"/>
          <w:sz w:val="20"/>
          <w:szCs w:val="20"/>
          <w:lang w:val="en-GB"/>
        </w:rPr>
        <w:t xml:space="preserve"> alone will increase fivefold to </w:t>
      </w:r>
      <w:r w:rsidR="00BB2431" w:rsidRPr="00A112CE">
        <w:rPr>
          <w:rFonts w:ascii="Georgia" w:hAnsi="Georgia"/>
          <w:sz w:val="20"/>
          <w:szCs w:val="20"/>
          <w:lang w:val="en-GB"/>
        </w:rPr>
        <w:t>6</w:t>
      </w:r>
      <w:r w:rsidRPr="00A112CE">
        <w:rPr>
          <w:rFonts w:ascii="Georgia" w:hAnsi="Georgia"/>
          <w:sz w:val="20"/>
          <w:szCs w:val="20"/>
          <w:lang w:val="en-GB"/>
        </w:rPr>
        <w:t>,</w:t>
      </w:r>
      <w:r w:rsidR="00BB2431" w:rsidRPr="00A112CE">
        <w:rPr>
          <w:rFonts w:ascii="Georgia" w:hAnsi="Georgia"/>
          <w:sz w:val="20"/>
          <w:szCs w:val="20"/>
          <w:lang w:val="en-GB"/>
        </w:rPr>
        <w:t>000)</w:t>
      </w:r>
      <w:r w:rsidRPr="00A112CE">
        <w:rPr>
          <w:rFonts w:ascii="Georgia" w:hAnsi="Georgia"/>
          <w:sz w:val="20"/>
          <w:szCs w:val="20"/>
          <w:lang w:val="en-GB"/>
        </w:rPr>
        <w:t xml:space="preserve">, and there will be a stronger focus on defence, research and youth. Almost all the other EU programmes will be subject to cuts; this even includes spending on agriculture and structurally weak regions (although these two items will remain the largest areas of </w:t>
      </w:r>
      <w:r w:rsidR="002C313C" w:rsidRPr="00A112CE">
        <w:rPr>
          <w:rFonts w:ascii="Georgia" w:hAnsi="Georgia"/>
          <w:sz w:val="20"/>
          <w:szCs w:val="20"/>
          <w:lang w:val="en-GB"/>
        </w:rPr>
        <w:t>expenditure</w:t>
      </w:r>
      <w:r w:rsidRPr="00A112CE">
        <w:rPr>
          <w:rFonts w:ascii="Georgia" w:hAnsi="Georgia"/>
          <w:sz w:val="20"/>
          <w:szCs w:val="20"/>
          <w:lang w:val="en-GB"/>
        </w:rPr>
        <w:t xml:space="preserve">, accounting for </w:t>
      </w:r>
      <w:r w:rsidR="00BB2431" w:rsidRPr="00A112CE">
        <w:rPr>
          <w:rFonts w:ascii="Georgia" w:hAnsi="Georgia"/>
          <w:sz w:val="20"/>
          <w:szCs w:val="20"/>
          <w:lang w:val="en-GB"/>
        </w:rPr>
        <w:t>34</w:t>
      </w:r>
      <w:r w:rsidRPr="00A112CE">
        <w:rPr>
          <w:rFonts w:ascii="Georgia" w:hAnsi="Georgia"/>
          <w:sz w:val="20"/>
          <w:szCs w:val="20"/>
          <w:lang w:val="en-GB"/>
        </w:rPr>
        <w:t>.</w:t>
      </w:r>
      <w:r w:rsidR="00BB2431" w:rsidRPr="00A112CE">
        <w:rPr>
          <w:rFonts w:ascii="Georgia" w:hAnsi="Georgia"/>
          <w:sz w:val="20"/>
          <w:szCs w:val="20"/>
          <w:lang w:val="en-GB"/>
        </w:rPr>
        <w:t xml:space="preserve">5% </w:t>
      </w:r>
      <w:r w:rsidRPr="00A112CE">
        <w:rPr>
          <w:rFonts w:ascii="Georgia" w:hAnsi="Georgia"/>
          <w:sz w:val="20"/>
          <w:szCs w:val="20"/>
          <w:lang w:val="en-GB"/>
        </w:rPr>
        <w:t>a</w:t>
      </w:r>
      <w:r w:rsidR="00BB2431" w:rsidRPr="00A112CE">
        <w:rPr>
          <w:rFonts w:ascii="Georgia" w:hAnsi="Georgia"/>
          <w:sz w:val="20"/>
          <w:szCs w:val="20"/>
          <w:lang w:val="en-GB"/>
        </w:rPr>
        <w:t>nd 29</w:t>
      </w:r>
      <w:r w:rsidRPr="00A112CE">
        <w:rPr>
          <w:rFonts w:ascii="Georgia" w:hAnsi="Georgia"/>
          <w:sz w:val="20"/>
          <w:szCs w:val="20"/>
          <w:lang w:val="en-GB"/>
        </w:rPr>
        <w:t>.</w:t>
      </w:r>
      <w:r w:rsidR="00BB2431" w:rsidRPr="00A112CE">
        <w:rPr>
          <w:rFonts w:ascii="Georgia" w:hAnsi="Georgia"/>
          <w:sz w:val="20"/>
          <w:szCs w:val="20"/>
          <w:lang w:val="en-GB"/>
        </w:rPr>
        <w:t>7%</w:t>
      </w:r>
      <w:r w:rsidRPr="00A112CE">
        <w:rPr>
          <w:rFonts w:ascii="Georgia" w:hAnsi="Georgia"/>
          <w:sz w:val="20"/>
          <w:szCs w:val="20"/>
          <w:lang w:val="en-GB"/>
        </w:rPr>
        <w:t xml:space="preserve">, respectively). For migration </w:t>
      </w:r>
      <w:r w:rsidR="00BB2431" w:rsidRPr="00A112CE">
        <w:rPr>
          <w:rFonts w:ascii="Georgia" w:hAnsi="Georgia"/>
          <w:sz w:val="20"/>
          <w:szCs w:val="20"/>
          <w:lang w:val="en-GB"/>
        </w:rPr>
        <w:t>(Asylum and Migration Fund)</w:t>
      </w:r>
      <w:r w:rsidRPr="00A112CE">
        <w:rPr>
          <w:rFonts w:ascii="Georgia" w:hAnsi="Georgia"/>
          <w:sz w:val="20"/>
          <w:szCs w:val="20"/>
          <w:lang w:val="en-GB"/>
        </w:rPr>
        <w:t>, the Commission</w:t>
      </w:r>
      <w:r w:rsidR="002C313C" w:rsidRPr="00A112CE">
        <w:rPr>
          <w:rFonts w:ascii="Georgia" w:hAnsi="Georgia"/>
          <w:sz w:val="20"/>
          <w:szCs w:val="20"/>
          <w:lang w:val="en-GB"/>
        </w:rPr>
        <w:t xml:space="preserve"> has pencilled in </w:t>
      </w:r>
      <w:r w:rsidR="00BB2431" w:rsidRPr="00A112CE">
        <w:rPr>
          <w:rFonts w:ascii="Georgia" w:hAnsi="Georgia"/>
          <w:sz w:val="20"/>
          <w:szCs w:val="20"/>
          <w:lang w:val="en-GB"/>
        </w:rPr>
        <w:t>€</w:t>
      </w:r>
      <w:r w:rsidRPr="00A112CE">
        <w:rPr>
          <w:rFonts w:ascii="Georgia" w:hAnsi="Georgia"/>
          <w:sz w:val="20"/>
          <w:szCs w:val="20"/>
          <w:lang w:val="en-GB"/>
        </w:rPr>
        <w:t>10</w:t>
      </w:r>
      <w:r w:rsidR="00A02ED9" w:rsidRPr="00A112CE">
        <w:rPr>
          <w:rFonts w:ascii="Georgia" w:hAnsi="Georgia"/>
          <w:sz w:val="20"/>
          <w:szCs w:val="20"/>
          <w:lang w:val="en-GB"/>
        </w:rPr>
        <w:t>.</w:t>
      </w:r>
      <w:r w:rsidRPr="00A112CE">
        <w:rPr>
          <w:rFonts w:ascii="Georgia" w:hAnsi="Georgia"/>
          <w:sz w:val="20"/>
          <w:szCs w:val="20"/>
          <w:lang w:val="en-GB"/>
        </w:rPr>
        <w:t>4</w:t>
      </w:r>
      <w:r w:rsidR="00A02ED9" w:rsidRPr="00A112CE">
        <w:rPr>
          <w:rFonts w:ascii="Georgia" w:hAnsi="Georgia"/>
          <w:sz w:val="20"/>
          <w:szCs w:val="20"/>
          <w:lang w:val="en-GB"/>
        </w:rPr>
        <w:t xml:space="preserve"> b</w:t>
      </w:r>
      <w:r w:rsidRPr="00A112CE">
        <w:rPr>
          <w:rFonts w:ascii="Georgia" w:hAnsi="Georgia"/>
          <w:sz w:val="20"/>
          <w:szCs w:val="20"/>
          <w:lang w:val="en-GB"/>
        </w:rPr>
        <w:t xml:space="preserve">illion, with a further </w:t>
      </w:r>
      <w:r w:rsidR="00BB2431" w:rsidRPr="00A112CE">
        <w:rPr>
          <w:rFonts w:ascii="Georgia" w:hAnsi="Georgia"/>
          <w:sz w:val="20"/>
          <w:szCs w:val="20"/>
          <w:lang w:val="en-GB"/>
        </w:rPr>
        <w:t>€</w:t>
      </w:r>
      <w:r w:rsidRPr="00A112CE">
        <w:rPr>
          <w:rFonts w:ascii="Georgia" w:hAnsi="Georgia"/>
          <w:sz w:val="20"/>
          <w:szCs w:val="20"/>
          <w:lang w:val="en-GB"/>
        </w:rPr>
        <w:t>9</w:t>
      </w:r>
      <w:r w:rsidR="00A02ED9" w:rsidRPr="00A112CE">
        <w:rPr>
          <w:rFonts w:ascii="Georgia" w:hAnsi="Georgia"/>
          <w:sz w:val="20"/>
          <w:szCs w:val="20"/>
          <w:lang w:val="en-GB"/>
        </w:rPr>
        <w:t>.</w:t>
      </w:r>
      <w:r w:rsidR="00A774CE" w:rsidRPr="00A112CE">
        <w:rPr>
          <w:rFonts w:ascii="Georgia" w:hAnsi="Georgia"/>
          <w:sz w:val="20"/>
          <w:szCs w:val="20"/>
          <w:lang w:val="en-GB"/>
        </w:rPr>
        <w:t>3</w:t>
      </w:r>
      <w:r w:rsidR="00A02ED9" w:rsidRPr="00A112CE">
        <w:rPr>
          <w:rFonts w:ascii="Georgia" w:hAnsi="Georgia"/>
          <w:sz w:val="20"/>
          <w:szCs w:val="20"/>
          <w:lang w:val="en-GB"/>
        </w:rPr>
        <w:t xml:space="preserve"> b</w:t>
      </w:r>
      <w:r w:rsidRPr="00A112CE">
        <w:rPr>
          <w:rFonts w:ascii="Georgia" w:hAnsi="Georgia"/>
          <w:sz w:val="20"/>
          <w:szCs w:val="20"/>
          <w:lang w:val="en-GB"/>
        </w:rPr>
        <w:t xml:space="preserve">illion for an </w:t>
      </w:r>
      <w:r w:rsidR="00BB2431" w:rsidRPr="00A112CE">
        <w:rPr>
          <w:rFonts w:ascii="Georgia" w:hAnsi="Georgia"/>
          <w:sz w:val="20"/>
          <w:szCs w:val="20"/>
          <w:lang w:val="en-GB"/>
        </w:rPr>
        <w:t xml:space="preserve">Integrated Border Management Fund. </w:t>
      </w:r>
      <w:r w:rsidR="00A02ED9" w:rsidRPr="00A112CE">
        <w:rPr>
          <w:rFonts w:ascii="Georgia" w:hAnsi="Georgia"/>
          <w:sz w:val="20"/>
          <w:szCs w:val="20"/>
          <w:lang w:val="en-GB"/>
        </w:rPr>
        <w:t>Proposed s</w:t>
      </w:r>
      <w:r w:rsidR="002C313C" w:rsidRPr="00A112CE">
        <w:rPr>
          <w:rFonts w:ascii="Georgia" w:hAnsi="Georgia"/>
          <w:sz w:val="20"/>
          <w:szCs w:val="20"/>
          <w:lang w:val="en-GB"/>
        </w:rPr>
        <w:t xml:space="preserve">pending on </w:t>
      </w:r>
      <w:r w:rsidR="00A02ED9" w:rsidRPr="00A112CE">
        <w:rPr>
          <w:rFonts w:ascii="Georgia" w:hAnsi="Georgia"/>
          <w:sz w:val="20"/>
          <w:szCs w:val="20"/>
          <w:lang w:val="en-GB"/>
        </w:rPr>
        <w:t>s</w:t>
      </w:r>
      <w:r w:rsidR="002C313C" w:rsidRPr="00A112CE">
        <w:rPr>
          <w:rFonts w:ascii="Georgia" w:hAnsi="Georgia"/>
          <w:sz w:val="20"/>
          <w:szCs w:val="20"/>
          <w:lang w:val="en-GB"/>
        </w:rPr>
        <w:t xml:space="preserve">ecurity and </w:t>
      </w:r>
      <w:r w:rsidR="00A02ED9" w:rsidRPr="00A112CE">
        <w:rPr>
          <w:rFonts w:ascii="Georgia" w:hAnsi="Georgia"/>
          <w:sz w:val="20"/>
          <w:szCs w:val="20"/>
          <w:lang w:val="en-GB"/>
        </w:rPr>
        <w:t>d</w:t>
      </w:r>
      <w:r w:rsidR="002C313C" w:rsidRPr="00A112CE">
        <w:rPr>
          <w:rFonts w:ascii="Georgia" w:hAnsi="Georgia"/>
          <w:sz w:val="20"/>
          <w:szCs w:val="20"/>
          <w:lang w:val="en-GB"/>
        </w:rPr>
        <w:t xml:space="preserve">efence </w:t>
      </w:r>
      <w:r w:rsidR="00A02ED9" w:rsidRPr="00A112CE">
        <w:rPr>
          <w:rFonts w:ascii="Georgia" w:hAnsi="Georgia"/>
          <w:sz w:val="20"/>
          <w:szCs w:val="20"/>
          <w:lang w:val="en-GB"/>
        </w:rPr>
        <w:t>amounts to</w:t>
      </w:r>
      <w:r w:rsidR="002C313C" w:rsidRPr="00A112CE">
        <w:rPr>
          <w:rFonts w:ascii="Georgia" w:hAnsi="Georgia"/>
          <w:sz w:val="20"/>
          <w:szCs w:val="20"/>
          <w:lang w:val="en-GB"/>
        </w:rPr>
        <w:t xml:space="preserve"> </w:t>
      </w:r>
      <w:r w:rsidR="00BB2431" w:rsidRPr="00A112CE">
        <w:rPr>
          <w:rFonts w:ascii="Georgia" w:hAnsi="Georgia"/>
          <w:sz w:val="20"/>
          <w:szCs w:val="20"/>
          <w:lang w:val="en-GB"/>
        </w:rPr>
        <w:t>€</w:t>
      </w:r>
      <w:r w:rsidR="002C313C" w:rsidRPr="00A112CE">
        <w:rPr>
          <w:rFonts w:ascii="Georgia" w:hAnsi="Georgia"/>
          <w:sz w:val="20"/>
          <w:szCs w:val="20"/>
          <w:lang w:val="en-GB"/>
        </w:rPr>
        <w:t>18</w:t>
      </w:r>
      <w:r w:rsidR="00A02ED9" w:rsidRPr="00A112CE">
        <w:rPr>
          <w:rFonts w:ascii="Georgia" w:hAnsi="Georgia"/>
          <w:sz w:val="20"/>
          <w:szCs w:val="20"/>
          <w:lang w:val="en-GB"/>
        </w:rPr>
        <w:t xml:space="preserve"> b</w:t>
      </w:r>
      <w:r w:rsidR="002C313C" w:rsidRPr="00A112CE">
        <w:rPr>
          <w:rFonts w:ascii="Georgia" w:hAnsi="Georgia"/>
          <w:sz w:val="20"/>
          <w:szCs w:val="20"/>
          <w:lang w:val="en-GB"/>
        </w:rPr>
        <w:t xml:space="preserve">illion (including </w:t>
      </w:r>
      <w:r w:rsidR="00BB2431" w:rsidRPr="00A112CE">
        <w:rPr>
          <w:rFonts w:ascii="Georgia" w:hAnsi="Georgia"/>
          <w:sz w:val="20"/>
          <w:szCs w:val="20"/>
          <w:lang w:val="en-GB"/>
        </w:rPr>
        <w:t>€</w:t>
      </w:r>
      <w:r w:rsidR="002C313C" w:rsidRPr="00A112CE">
        <w:rPr>
          <w:rFonts w:ascii="Georgia" w:hAnsi="Georgia"/>
          <w:sz w:val="20"/>
          <w:szCs w:val="20"/>
          <w:lang w:val="en-GB"/>
        </w:rPr>
        <w:t>13</w:t>
      </w:r>
      <w:r w:rsidR="00A02ED9" w:rsidRPr="00A112CE">
        <w:rPr>
          <w:rFonts w:ascii="Georgia" w:hAnsi="Georgia"/>
          <w:sz w:val="20"/>
          <w:szCs w:val="20"/>
          <w:lang w:val="en-GB"/>
        </w:rPr>
        <w:t xml:space="preserve"> b</w:t>
      </w:r>
      <w:r w:rsidR="002C313C" w:rsidRPr="00A112CE">
        <w:rPr>
          <w:rFonts w:ascii="Georgia" w:hAnsi="Georgia"/>
          <w:sz w:val="20"/>
          <w:szCs w:val="20"/>
          <w:lang w:val="en-GB"/>
        </w:rPr>
        <w:t>illion</w:t>
      </w:r>
      <w:r w:rsidR="00A02ED9" w:rsidRPr="00A112CE">
        <w:rPr>
          <w:rFonts w:ascii="Georgia" w:hAnsi="Georgia"/>
          <w:sz w:val="20"/>
          <w:szCs w:val="20"/>
          <w:lang w:val="en-GB"/>
        </w:rPr>
        <w:t xml:space="preserve"> for the </w:t>
      </w:r>
      <w:hyperlink r:id="rId11" w:history="1">
        <w:r w:rsidR="00A02ED9" w:rsidRPr="00A112CE">
          <w:rPr>
            <w:rStyle w:val="Hyperlink"/>
            <w:rFonts w:ascii="Georgia" w:hAnsi="Georgia"/>
            <w:sz w:val="20"/>
            <w:szCs w:val="20"/>
            <w:lang w:val="en-GB"/>
          </w:rPr>
          <w:t>European Defence Fund</w:t>
        </w:r>
      </w:hyperlink>
      <w:r w:rsidR="00A02ED9" w:rsidRPr="00A112CE">
        <w:rPr>
          <w:rFonts w:ascii="Georgia" w:hAnsi="Georgia"/>
          <w:sz w:val="20"/>
          <w:szCs w:val="20"/>
          <w:lang w:val="en-GB"/>
        </w:rPr>
        <w:t>, launched in 2018</w:t>
      </w:r>
      <w:r w:rsidR="002C313C" w:rsidRPr="00A112CE">
        <w:rPr>
          <w:rFonts w:ascii="Georgia" w:hAnsi="Georgia"/>
          <w:sz w:val="20"/>
          <w:szCs w:val="20"/>
          <w:lang w:val="en-GB"/>
        </w:rPr>
        <w:t xml:space="preserve">). </w:t>
      </w:r>
      <w:bookmarkStart w:id="4" w:name="_Hlk516581464"/>
      <w:r w:rsidR="002C313C" w:rsidRPr="00A112CE">
        <w:rPr>
          <w:rFonts w:ascii="Georgia" w:hAnsi="Georgia"/>
          <w:sz w:val="20"/>
          <w:szCs w:val="20"/>
          <w:lang w:val="en-GB"/>
        </w:rPr>
        <w:t xml:space="preserve">A new </w:t>
      </w:r>
      <w:r w:rsidR="00BB2431" w:rsidRPr="00A112CE">
        <w:rPr>
          <w:rFonts w:ascii="Georgia" w:hAnsi="Georgia"/>
          <w:sz w:val="20"/>
          <w:szCs w:val="20"/>
          <w:lang w:val="en-GB"/>
        </w:rPr>
        <w:t>Neighbourhood, Development and International Cooperation</w:t>
      </w:r>
      <w:r w:rsidR="002C313C" w:rsidRPr="00A112CE">
        <w:rPr>
          <w:rFonts w:ascii="Georgia" w:hAnsi="Georgia"/>
          <w:sz w:val="20"/>
          <w:szCs w:val="20"/>
          <w:lang w:val="en-GB"/>
        </w:rPr>
        <w:t xml:space="preserve"> Instrument </w:t>
      </w:r>
      <w:bookmarkEnd w:id="4"/>
      <w:r w:rsidR="002C313C" w:rsidRPr="00A112CE">
        <w:rPr>
          <w:rFonts w:ascii="Georgia" w:hAnsi="Georgia"/>
          <w:sz w:val="20"/>
          <w:szCs w:val="20"/>
          <w:lang w:val="en-GB"/>
        </w:rPr>
        <w:t xml:space="preserve">will be allocated </w:t>
      </w:r>
      <w:r w:rsidR="00BB2431" w:rsidRPr="00A112CE">
        <w:rPr>
          <w:rFonts w:ascii="Georgia" w:hAnsi="Georgia"/>
          <w:sz w:val="20"/>
          <w:szCs w:val="20"/>
          <w:lang w:val="en-GB"/>
        </w:rPr>
        <w:t>€</w:t>
      </w:r>
      <w:r w:rsidR="002C313C" w:rsidRPr="00A112CE">
        <w:rPr>
          <w:rFonts w:ascii="Georgia" w:hAnsi="Georgia"/>
          <w:sz w:val="20"/>
          <w:szCs w:val="20"/>
          <w:lang w:val="en-GB"/>
        </w:rPr>
        <w:t>89</w:t>
      </w:r>
      <w:r w:rsidR="00A02ED9" w:rsidRPr="00A112CE">
        <w:rPr>
          <w:rFonts w:ascii="Georgia" w:hAnsi="Georgia"/>
          <w:sz w:val="20"/>
          <w:szCs w:val="20"/>
          <w:lang w:val="en-GB"/>
        </w:rPr>
        <w:t>.</w:t>
      </w:r>
      <w:r w:rsidR="002C313C" w:rsidRPr="00A112CE">
        <w:rPr>
          <w:rFonts w:ascii="Georgia" w:hAnsi="Georgia"/>
          <w:sz w:val="20"/>
          <w:szCs w:val="20"/>
          <w:lang w:val="en-GB"/>
        </w:rPr>
        <w:t>5</w:t>
      </w:r>
      <w:r w:rsidR="00A02ED9" w:rsidRPr="00A112CE">
        <w:rPr>
          <w:rFonts w:ascii="Georgia" w:hAnsi="Georgia"/>
          <w:sz w:val="20"/>
          <w:szCs w:val="20"/>
          <w:lang w:val="en-GB"/>
        </w:rPr>
        <w:t xml:space="preserve"> b</w:t>
      </w:r>
      <w:r w:rsidR="002C313C" w:rsidRPr="00A112CE">
        <w:rPr>
          <w:rFonts w:ascii="Georgia" w:hAnsi="Georgia"/>
          <w:sz w:val="20"/>
          <w:szCs w:val="20"/>
          <w:lang w:val="en-GB"/>
        </w:rPr>
        <w:t xml:space="preserve">illion, with a further </w:t>
      </w:r>
      <w:r w:rsidR="00BB2431" w:rsidRPr="00A112CE">
        <w:rPr>
          <w:rFonts w:ascii="Georgia" w:hAnsi="Georgia"/>
          <w:sz w:val="20"/>
          <w:szCs w:val="20"/>
          <w:lang w:val="en-GB"/>
        </w:rPr>
        <w:t>€</w:t>
      </w:r>
      <w:r w:rsidR="002C313C" w:rsidRPr="00A112CE">
        <w:rPr>
          <w:rFonts w:ascii="Georgia" w:hAnsi="Georgia"/>
          <w:sz w:val="20"/>
          <w:szCs w:val="20"/>
          <w:lang w:val="en-GB"/>
        </w:rPr>
        <w:t>11</w:t>
      </w:r>
      <w:r w:rsidR="00A02ED9" w:rsidRPr="00A112CE">
        <w:rPr>
          <w:rFonts w:ascii="Georgia" w:hAnsi="Georgia"/>
          <w:sz w:val="20"/>
          <w:szCs w:val="20"/>
          <w:lang w:val="en-GB"/>
        </w:rPr>
        <w:t xml:space="preserve"> b</w:t>
      </w:r>
      <w:r w:rsidR="002C313C" w:rsidRPr="00A112CE">
        <w:rPr>
          <w:rFonts w:ascii="Georgia" w:hAnsi="Georgia"/>
          <w:sz w:val="20"/>
          <w:szCs w:val="20"/>
          <w:lang w:val="en-GB"/>
        </w:rPr>
        <w:t xml:space="preserve">illion for humanitarian aid, </w:t>
      </w:r>
      <w:r w:rsidR="00BB2431" w:rsidRPr="00A112CE">
        <w:rPr>
          <w:rFonts w:ascii="Georgia" w:hAnsi="Georgia"/>
          <w:sz w:val="20"/>
          <w:szCs w:val="20"/>
          <w:lang w:val="en-GB"/>
        </w:rPr>
        <w:t>€</w:t>
      </w:r>
      <w:r w:rsidR="002C313C" w:rsidRPr="00A112CE">
        <w:rPr>
          <w:rFonts w:ascii="Georgia" w:hAnsi="Georgia"/>
          <w:sz w:val="20"/>
          <w:szCs w:val="20"/>
          <w:lang w:val="en-GB"/>
        </w:rPr>
        <w:t>3</w:t>
      </w:r>
      <w:r w:rsidR="00A02ED9" w:rsidRPr="00A112CE">
        <w:rPr>
          <w:rFonts w:ascii="Georgia" w:hAnsi="Georgia"/>
          <w:sz w:val="20"/>
          <w:szCs w:val="20"/>
          <w:lang w:val="en-GB"/>
        </w:rPr>
        <w:t xml:space="preserve"> b</w:t>
      </w:r>
      <w:r w:rsidR="002C313C" w:rsidRPr="00A112CE">
        <w:rPr>
          <w:rFonts w:ascii="Georgia" w:hAnsi="Georgia"/>
          <w:sz w:val="20"/>
          <w:szCs w:val="20"/>
          <w:lang w:val="en-GB"/>
        </w:rPr>
        <w:t xml:space="preserve">illion for the Common Foreign and Security Policy and </w:t>
      </w:r>
      <w:r w:rsidR="00BB2431" w:rsidRPr="00A112CE">
        <w:rPr>
          <w:rFonts w:ascii="Georgia" w:hAnsi="Georgia"/>
          <w:sz w:val="20"/>
          <w:szCs w:val="20"/>
          <w:lang w:val="en-GB"/>
        </w:rPr>
        <w:t>€</w:t>
      </w:r>
      <w:r w:rsidR="002C313C" w:rsidRPr="00A112CE">
        <w:rPr>
          <w:rFonts w:ascii="Georgia" w:hAnsi="Georgia"/>
          <w:sz w:val="20"/>
          <w:szCs w:val="20"/>
          <w:lang w:val="en-GB"/>
        </w:rPr>
        <w:t>14</w:t>
      </w:r>
      <w:r w:rsidR="00A02ED9" w:rsidRPr="00A112CE">
        <w:rPr>
          <w:rFonts w:ascii="Georgia" w:hAnsi="Georgia"/>
          <w:sz w:val="20"/>
          <w:szCs w:val="20"/>
          <w:lang w:val="en-GB"/>
        </w:rPr>
        <w:t>.</w:t>
      </w:r>
      <w:r w:rsidR="002C313C" w:rsidRPr="00A112CE">
        <w:rPr>
          <w:rFonts w:ascii="Georgia" w:hAnsi="Georgia"/>
          <w:sz w:val="20"/>
          <w:szCs w:val="20"/>
          <w:lang w:val="en-GB"/>
        </w:rPr>
        <w:t>5</w:t>
      </w:r>
      <w:r w:rsidR="00A02ED9" w:rsidRPr="00A112CE">
        <w:rPr>
          <w:rFonts w:ascii="Georgia" w:hAnsi="Georgia"/>
          <w:sz w:val="20"/>
          <w:szCs w:val="20"/>
          <w:lang w:val="en-GB"/>
        </w:rPr>
        <w:t xml:space="preserve"> b</w:t>
      </w:r>
      <w:r w:rsidR="002C313C" w:rsidRPr="00A112CE">
        <w:rPr>
          <w:rFonts w:ascii="Georgia" w:hAnsi="Georgia"/>
          <w:sz w:val="20"/>
          <w:szCs w:val="20"/>
          <w:lang w:val="en-GB"/>
        </w:rPr>
        <w:t xml:space="preserve">illion for pre-accession assistance. </w:t>
      </w:r>
    </w:p>
    <w:p w:rsidR="008B2CE6" w:rsidRPr="00A112CE" w:rsidRDefault="008B2CE6" w:rsidP="00BB2431">
      <w:pPr>
        <w:spacing w:before="100" w:beforeAutospacing="1" w:after="100" w:afterAutospacing="1"/>
        <w:outlineLvl w:val="0"/>
        <w:rPr>
          <w:rFonts w:ascii="Georgia" w:hAnsi="Georgia"/>
          <w:b/>
          <w:bCs/>
          <w:kern w:val="36"/>
          <w:sz w:val="20"/>
          <w:szCs w:val="20"/>
          <w:lang w:val="en-GB"/>
        </w:rPr>
      </w:pPr>
    </w:p>
    <w:p w:rsidR="00BB2431" w:rsidRPr="008431F3" w:rsidRDefault="006A168C" w:rsidP="00BB2431">
      <w:pPr>
        <w:spacing w:before="100" w:beforeAutospacing="1" w:after="100" w:afterAutospacing="1"/>
        <w:outlineLvl w:val="0"/>
        <w:rPr>
          <w:rFonts w:ascii="Georgia" w:hAnsi="Georgia"/>
          <w:b/>
          <w:bCs/>
          <w:kern w:val="36"/>
          <w:sz w:val="20"/>
          <w:szCs w:val="20"/>
          <w:lang w:val="en-GB"/>
        </w:rPr>
      </w:pPr>
      <w:r w:rsidRPr="00A112CE">
        <w:rPr>
          <w:rFonts w:ascii="Georgia" w:hAnsi="Georgia"/>
          <w:b/>
          <w:bCs/>
          <w:kern w:val="36"/>
          <w:sz w:val="20"/>
          <w:szCs w:val="20"/>
          <w:lang w:val="en-GB"/>
        </w:rPr>
        <w:lastRenderedPageBreak/>
        <w:t>A new Neighbourhood, Development and I</w:t>
      </w:r>
      <w:r w:rsidRPr="008431F3">
        <w:rPr>
          <w:rFonts w:ascii="Georgia" w:hAnsi="Georgia"/>
          <w:b/>
          <w:bCs/>
          <w:kern w:val="36"/>
          <w:sz w:val="20"/>
          <w:szCs w:val="20"/>
          <w:lang w:val="en-GB"/>
        </w:rPr>
        <w:t>nternational Cooperation Instrument for the EU</w:t>
      </w:r>
    </w:p>
    <w:p w:rsidR="00BB2431" w:rsidRPr="008431F3" w:rsidRDefault="006D5FD3" w:rsidP="00BB2431">
      <w:pPr>
        <w:spacing w:before="100" w:beforeAutospacing="1" w:after="100" w:afterAutospacing="1"/>
        <w:rPr>
          <w:rFonts w:ascii="Georgia" w:hAnsi="Georgia"/>
          <w:sz w:val="20"/>
          <w:szCs w:val="20"/>
          <w:lang w:val="en-GB"/>
        </w:rPr>
      </w:pPr>
      <w:r w:rsidRPr="008431F3">
        <w:rPr>
          <w:rFonts w:ascii="Georgia" w:hAnsi="Georgia"/>
          <w:sz w:val="20"/>
          <w:szCs w:val="20"/>
          <w:lang w:val="en-GB"/>
        </w:rPr>
        <w:t>The</w:t>
      </w:r>
      <w:r w:rsidR="00DC015D" w:rsidRPr="008431F3">
        <w:rPr>
          <w:rFonts w:ascii="Georgia" w:hAnsi="Georgia"/>
          <w:sz w:val="20"/>
          <w:szCs w:val="20"/>
          <w:lang w:val="en-GB"/>
        </w:rPr>
        <w:t>se budget</w:t>
      </w:r>
      <w:r w:rsidRPr="008431F3">
        <w:rPr>
          <w:rFonts w:ascii="Georgia" w:hAnsi="Georgia"/>
          <w:sz w:val="20"/>
          <w:szCs w:val="20"/>
          <w:lang w:val="en-GB"/>
        </w:rPr>
        <w:t xml:space="preserve"> </w:t>
      </w:r>
      <w:r w:rsidR="00DC015D" w:rsidRPr="008431F3">
        <w:rPr>
          <w:rFonts w:ascii="Georgia" w:hAnsi="Georgia"/>
          <w:sz w:val="20"/>
          <w:szCs w:val="20"/>
          <w:lang w:val="en-GB"/>
        </w:rPr>
        <w:t xml:space="preserve">proposals link in with plans for </w:t>
      </w:r>
      <w:r w:rsidR="00662CF9">
        <w:rPr>
          <w:rFonts w:ascii="Georgia" w:hAnsi="Georgia"/>
          <w:sz w:val="20"/>
          <w:szCs w:val="20"/>
          <w:lang w:val="en-GB"/>
        </w:rPr>
        <w:t xml:space="preserve">a </w:t>
      </w:r>
      <w:r w:rsidR="00DC015D" w:rsidRPr="008431F3">
        <w:rPr>
          <w:rFonts w:ascii="Georgia" w:hAnsi="Georgia"/>
          <w:sz w:val="20"/>
          <w:szCs w:val="20"/>
          <w:lang w:val="en-GB"/>
        </w:rPr>
        <w:t xml:space="preserve">comprehensive restructuring and refocusing of the EU’s </w:t>
      </w:r>
      <w:r w:rsidR="00CE1209" w:rsidRPr="00A112CE">
        <w:rPr>
          <w:rFonts w:ascii="Georgia" w:hAnsi="Georgia"/>
          <w:sz w:val="20"/>
          <w:szCs w:val="20"/>
          <w:lang w:val="en-GB"/>
        </w:rPr>
        <w:t>financi</w:t>
      </w:r>
      <w:r w:rsidR="00396CAF" w:rsidRPr="00A112CE">
        <w:rPr>
          <w:rFonts w:ascii="Georgia" w:hAnsi="Georgia"/>
          <w:sz w:val="20"/>
          <w:szCs w:val="20"/>
          <w:lang w:val="en-GB"/>
        </w:rPr>
        <w:t>al</w:t>
      </w:r>
      <w:r w:rsidR="00CE1209" w:rsidRPr="00A112CE">
        <w:rPr>
          <w:rFonts w:ascii="Georgia" w:hAnsi="Georgia"/>
          <w:sz w:val="20"/>
          <w:szCs w:val="20"/>
          <w:lang w:val="en-GB"/>
        </w:rPr>
        <w:t xml:space="preserve"> instruments</w:t>
      </w:r>
      <w:r w:rsidR="00DC015D" w:rsidRPr="00A112CE">
        <w:rPr>
          <w:rFonts w:ascii="Georgia" w:hAnsi="Georgia"/>
          <w:sz w:val="20"/>
          <w:szCs w:val="20"/>
          <w:lang w:val="en-GB"/>
        </w:rPr>
        <w:t>. Many previously self-standing budget lines will be brought together in future, notably the instruments for development, democracy and human rights, and civil conflict management.</w:t>
      </w:r>
      <w:r w:rsidR="00A112CE">
        <w:rPr>
          <w:rFonts w:ascii="Georgia" w:hAnsi="Georgia"/>
          <w:sz w:val="20"/>
          <w:szCs w:val="20"/>
          <w:lang w:val="en-GB"/>
        </w:rPr>
        <w:t xml:space="preserve"> </w:t>
      </w:r>
      <w:r w:rsidR="00DC015D" w:rsidRPr="00A112CE">
        <w:rPr>
          <w:rFonts w:ascii="Georgia" w:hAnsi="Georgia"/>
          <w:sz w:val="20"/>
          <w:szCs w:val="20"/>
          <w:lang w:val="en-GB"/>
        </w:rPr>
        <w:t>A new overarching Neighbourhood, Development and International Cooperation Instrument</w:t>
      </w:r>
      <w:r w:rsidR="00BB2431" w:rsidRPr="00A112CE">
        <w:rPr>
          <w:rFonts w:ascii="Georgia" w:hAnsi="Georgia"/>
          <w:sz w:val="20"/>
          <w:szCs w:val="20"/>
          <w:lang w:val="en-GB"/>
        </w:rPr>
        <w:t xml:space="preserve"> </w:t>
      </w:r>
      <w:r w:rsidR="00DC015D" w:rsidRPr="00A112CE">
        <w:rPr>
          <w:rFonts w:ascii="Georgia" w:hAnsi="Georgia"/>
          <w:sz w:val="20"/>
          <w:szCs w:val="20"/>
          <w:lang w:val="en-GB"/>
        </w:rPr>
        <w:t>will integrate the</w:t>
      </w:r>
      <w:r w:rsidR="00BB2431" w:rsidRPr="00A112CE">
        <w:rPr>
          <w:rFonts w:ascii="Georgia" w:hAnsi="Georgia"/>
          <w:sz w:val="20"/>
          <w:szCs w:val="20"/>
          <w:lang w:val="en-GB"/>
        </w:rPr>
        <w:t xml:space="preserve"> European Development Fund (EDF</w:t>
      </w:r>
      <w:r w:rsidR="00DC015D" w:rsidRPr="00A112CE">
        <w:rPr>
          <w:rFonts w:ascii="Georgia" w:hAnsi="Georgia"/>
          <w:sz w:val="20"/>
          <w:szCs w:val="20"/>
          <w:lang w:val="en-GB"/>
        </w:rPr>
        <w:t xml:space="preserve">) – not currently part of the EU budget but </w:t>
      </w:r>
      <w:r w:rsidR="008431F3" w:rsidRPr="00A112CE">
        <w:rPr>
          <w:rFonts w:ascii="Georgia" w:hAnsi="Georgia"/>
          <w:sz w:val="20"/>
          <w:szCs w:val="20"/>
          <w:lang w:val="en-GB"/>
        </w:rPr>
        <w:t>replenished</w:t>
      </w:r>
      <w:r w:rsidR="00DC015D" w:rsidRPr="00A112CE">
        <w:rPr>
          <w:rFonts w:ascii="Georgia" w:hAnsi="Georgia"/>
          <w:sz w:val="20"/>
          <w:szCs w:val="20"/>
          <w:lang w:val="en-GB"/>
        </w:rPr>
        <w:t xml:space="preserve"> separately by the member states – </w:t>
      </w:r>
      <w:r w:rsidR="00CE1209" w:rsidRPr="00A112CE">
        <w:rPr>
          <w:rFonts w:ascii="Georgia" w:hAnsi="Georgia"/>
          <w:sz w:val="20"/>
          <w:szCs w:val="20"/>
          <w:lang w:val="en-GB"/>
        </w:rPr>
        <w:t>along with</w:t>
      </w:r>
      <w:r w:rsidR="00DC015D" w:rsidRPr="00A112CE">
        <w:rPr>
          <w:rFonts w:ascii="Georgia" w:hAnsi="Georgia"/>
          <w:sz w:val="20"/>
          <w:szCs w:val="20"/>
          <w:lang w:val="en-GB"/>
        </w:rPr>
        <w:t xml:space="preserve"> other instruments which in the previous Multiannual Financial Framework </w:t>
      </w:r>
      <w:r w:rsidR="00BB2431" w:rsidRPr="00A112CE">
        <w:rPr>
          <w:rFonts w:ascii="Georgia" w:hAnsi="Georgia"/>
          <w:sz w:val="20"/>
          <w:szCs w:val="20"/>
          <w:lang w:val="en-GB"/>
        </w:rPr>
        <w:t xml:space="preserve">(2014-20) </w:t>
      </w:r>
      <w:r w:rsidR="00DC015D" w:rsidRPr="00A112CE">
        <w:rPr>
          <w:rFonts w:ascii="Georgia" w:hAnsi="Georgia"/>
          <w:sz w:val="20"/>
          <w:szCs w:val="20"/>
          <w:lang w:val="en-GB"/>
        </w:rPr>
        <w:t>were</w:t>
      </w:r>
      <w:r w:rsidR="00CE1209" w:rsidRPr="00A112CE">
        <w:rPr>
          <w:rFonts w:ascii="Georgia" w:hAnsi="Georgia"/>
          <w:sz w:val="20"/>
          <w:szCs w:val="20"/>
          <w:lang w:val="en-GB"/>
        </w:rPr>
        <w:t xml:space="preserve"> listed as</w:t>
      </w:r>
      <w:r w:rsidR="00DC015D" w:rsidRPr="00A112CE">
        <w:rPr>
          <w:rFonts w:ascii="Georgia" w:hAnsi="Georgia"/>
          <w:sz w:val="20"/>
          <w:szCs w:val="20"/>
          <w:lang w:val="en-GB"/>
        </w:rPr>
        <w:t xml:space="preserve"> self-standing sources</w:t>
      </w:r>
      <w:r w:rsidR="00DC015D" w:rsidRPr="008431F3">
        <w:rPr>
          <w:rFonts w:ascii="Georgia" w:hAnsi="Georgia"/>
          <w:sz w:val="20"/>
          <w:szCs w:val="20"/>
          <w:lang w:val="en-GB"/>
        </w:rPr>
        <w:t xml:space="preserve"> of funding for international activities, including the</w:t>
      </w:r>
      <w:r w:rsidR="00BB2431" w:rsidRPr="008431F3">
        <w:rPr>
          <w:rFonts w:ascii="Georgia" w:hAnsi="Georgia"/>
          <w:sz w:val="20"/>
          <w:szCs w:val="20"/>
          <w:lang w:val="en-GB"/>
        </w:rPr>
        <w:t xml:space="preserve"> Development Cooperation Instrument (DCI),</w:t>
      </w:r>
      <w:r w:rsidR="00DC015D" w:rsidRPr="008431F3">
        <w:rPr>
          <w:rFonts w:ascii="Georgia" w:hAnsi="Georgia"/>
          <w:sz w:val="20"/>
          <w:szCs w:val="20"/>
          <w:lang w:val="en-GB"/>
        </w:rPr>
        <w:t xml:space="preserve"> the</w:t>
      </w:r>
      <w:r w:rsidR="00BB2431" w:rsidRPr="008431F3">
        <w:rPr>
          <w:rFonts w:ascii="Georgia" w:hAnsi="Georgia"/>
          <w:sz w:val="20"/>
          <w:szCs w:val="20"/>
          <w:lang w:val="en-GB"/>
        </w:rPr>
        <w:t xml:space="preserve"> European Neighbourhood Initiative (ENI), </w:t>
      </w:r>
      <w:r w:rsidR="00DC015D" w:rsidRPr="008431F3">
        <w:rPr>
          <w:rFonts w:ascii="Georgia" w:hAnsi="Georgia"/>
          <w:sz w:val="20"/>
          <w:szCs w:val="20"/>
          <w:lang w:val="en-GB"/>
        </w:rPr>
        <w:t>the</w:t>
      </w:r>
      <w:r w:rsidR="00BB2431" w:rsidRPr="008431F3">
        <w:rPr>
          <w:rFonts w:ascii="Georgia" w:hAnsi="Georgia"/>
          <w:sz w:val="20"/>
          <w:szCs w:val="20"/>
          <w:lang w:val="en-GB"/>
        </w:rPr>
        <w:t xml:space="preserve"> </w:t>
      </w:r>
      <w:hyperlink r:id="rId12" w:history="1">
        <w:r w:rsidR="00BB2431" w:rsidRPr="008431F3">
          <w:rPr>
            <w:rStyle w:val="Hyperlink"/>
            <w:rFonts w:ascii="Georgia" w:hAnsi="Georgia"/>
            <w:sz w:val="20"/>
            <w:szCs w:val="20"/>
            <w:lang w:val="en-GB"/>
          </w:rPr>
          <w:t>Instrument for Democracy and Human Rights (EIDHR)</w:t>
        </w:r>
      </w:hyperlink>
      <w:r w:rsidR="00BB2431" w:rsidRPr="008431F3">
        <w:rPr>
          <w:rFonts w:ascii="Georgia" w:hAnsi="Georgia"/>
          <w:sz w:val="20"/>
          <w:szCs w:val="20"/>
          <w:lang w:val="en-GB"/>
        </w:rPr>
        <w:t xml:space="preserve">, </w:t>
      </w:r>
      <w:r w:rsidR="00DC015D" w:rsidRPr="008431F3">
        <w:rPr>
          <w:rFonts w:ascii="Georgia" w:hAnsi="Georgia"/>
          <w:sz w:val="20"/>
          <w:szCs w:val="20"/>
          <w:lang w:val="en-GB"/>
        </w:rPr>
        <w:t>a</w:t>
      </w:r>
      <w:r w:rsidR="00BB2431" w:rsidRPr="008431F3">
        <w:rPr>
          <w:rFonts w:ascii="Georgia" w:hAnsi="Georgia"/>
          <w:sz w:val="20"/>
          <w:szCs w:val="20"/>
          <w:lang w:val="en-GB"/>
        </w:rPr>
        <w:t xml:space="preserve">nd </w:t>
      </w:r>
      <w:r w:rsidR="00DC015D" w:rsidRPr="008431F3">
        <w:rPr>
          <w:rFonts w:ascii="Georgia" w:hAnsi="Georgia"/>
          <w:sz w:val="20"/>
          <w:szCs w:val="20"/>
          <w:lang w:val="en-GB"/>
        </w:rPr>
        <w:t>the</w:t>
      </w:r>
      <w:r w:rsidR="00BB2431" w:rsidRPr="008431F3">
        <w:rPr>
          <w:rFonts w:ascii="Georgia" w:hAnsi="Georgia"/>
          <w:sz w:val="20"/>
          <w:szCs w:val="20"/>
          <w:lang w:val="en-GB"/>
        </w:rPr>
        <w:t xml:space="preserve"> </w:t>
      </w:r>
      <w:hyperlink r:id="rId13" w:history="1">
        <w:r w:rsidR="00BB2431" w:rsidRPr="008431F3">
          <w:rPr>
            <w:rStyle w:val="Hyperlink"/>
            <w:rFonts w:ascii="Georgia" w:hAnsi="Georgia"/>
            <w:sz w:val="20"/>
            <w:szCs w:val="20"/>
            <w:lang w:val="en-GB"/>
          </w:rPr>
          <w:t>Instrument contributing to Stability and Peace (IcSP)</w:t>
        </w:r>
      </w:hyperlink>
      <w:r w:rsidR="008431F3" w:rsidRPr="008431F3">
        <w:rPr>
          <w:rFonts w:ascii="Georgia" w:hAnsi="Georgia"/>
          <w:sz w:val="20"/>
          <w:szCs w:val="20"/>
          <w:lang w:val="en-GB"/>
        </w:rPr>
        <w:t>. This latter mechanism</w:t>
      </w:r>
      <w:r w:rsidR="00DC015D" w:rsidRPr="008431F3">
        <w:rPr>
          <w:rFonts w:ascii="Georgia" w:hAnsi="Georgia"/>
          <w:sz w:val="20"/>
          <w:szCs w:val="20"/>
          <w:lang w:val="en-GB"/>
        </w:rPr>
        <w:t xml:space="preserve"> was established in 2014 to support crisis prevention, civil conflict management and peacebuilding/reconciliation and has provided funding for numerous civil society projects in more than 70 countries.</w:t>
      </w:r>
      <w:r w:rsidR="00A112CE">
        <w:rPr>
          <w:rFonts w:ascii="Georgia" w:hAnsi="Georgia"/>
          <w:sz w:val="20"/>
          <w:szCs w:val="20"/>
          <w:lang w:val="en-GB"/>
        </w:rPr>
        <w:t xml:space="preserve"> </w:t>
      </w:r>
    </w:p>
    <w:p w:rsidR="008B2CE6" w:rsidRPr="008431F3" w:rsidRDefault="008B2CE6" w:rsidP="00BB2431">
      <w:pPr>
        <w:spacing w:before="100" w:beforeAutospacing="1" w:after="100" w:afterAutospacing="1"/>
        <w:outlineLvl w:val="2"/>
        <w:rPr>
          <w:rFonts w:ascii="Georgia" w:hAnsi="Georgia"/>
          <w:b/>
          <w:bCs/>
          <w:sz w:val="20"/>
          <w:szCs w:val="20"/>
          <w:lang w:val="en-GB"/>
        </w:rPr>
      </w:pPr>
    </w:p>
    <w:p w:rsidR="00BB2431" w:rsidRPr="008431F3" w:rsidRDefault="00BB2431" w:rsidP="00BB2431">
      <w:pPr>
        <w:spacing w:before="100" w:beforeAutospacing="1" w:after="100" w:afterAutospacing="1"/>
        <w:outlineLvl w:val="2"/>
        <w:rPr>
          <w:rFonts w:ascii="Georgia" w:hAnsi="Georgia"/>
          <w:b/>
          <w:bCs/>
          <w:sz w:val="20"/>
          <w:szCs w:val="20"/>
          <w:lang w:val="en-GB"/>
        </w:rPr>
      </w:pPr>
      <w:r w:rsidRPr="008431F3">
        <w:rPr>
          <w:rFonts w:ascii="Georgia" w:hAnsi="Georgia"/>
          <w:b/>
          <w:bCs/>
          <w:sz w:val="20"/>
          <w:szCs w:val="20"/>
          <w:lang w:val="en-GB"/>
        </w:rPr>
        <w:t>Migration</w:t>
      </w:r>
      <w:r w:rsidR="00A774CE" w:rsidRPr="008431F3">
        <w:rPr>
          <w:rFonts w:ascii="Georgia" w:hAnsi="Georgia"/>
          <w:b/>
          <w:bCs/>
          <w:sz w:val="20"/>
          <w:szCs w:val="20"/>
          <w:lang w:val="en-GB"/>
        </w:rPr>
        <w:t xml:space="preserve"> control and “capacity development” for partners’ armed forces </w:t>
      </w:r>
    </w:p>
    <w:p w:rsidR="00BB2431" w:rsidRPr="008431F3" w:rsidRDefault="00DC015D" w:rsidP="00BB2431">
      <w:pPr>
        <w:spacing w:before="100" w:beforeAutospacing="1" w:after="100" w:afterAutospacing="1"/>
        <w:rPr>
          <w:rFonts w:ascii="Georgia" w:hAnsi="Georgia"/>
          <w:sz w:val="20"/>
          <w:szCs w:val="20"/>
          <w:lang w:val="en-GB"/>
        </w:rPr>
      </w:pPr>
      <w:r w:rsidRPr="008431F3">
        <w:rPr>
          <w:rFonts w:ascii="Georgia" w:hAnsi="Georgia"/>
          <w:sz w:val="20"/>
          <w:szCs w:val="20"/>
          <w:lang w:val="en-GB"/>
        </w:rPr>
        <w:t>In a</w:t>
      </w:r>
      <w:r w:rsidR="00BB2431" w:rsidRPr="008431F3">
        <w:rPr>
          <w:rFonts w:ascii="Georgia" w:hAnsi="Georgia"/>
          <w:sz w:val="20"/>
          <w:szCs w:val="20"/>
          <w:lang w:val="en-GB"/>
        </w:rPr>
        <w:t xml:space="preserve"> </w:t>
      </w:r>
      <w:hyperlink r:id="rId14" w:history="1">
        <w:r w:rsidRPr="008431F3">
          <w:rPr>
            <w:rFonts w:ascii="Georgia" w:hAnsi="Georgia"/>
            <w:color w:val="0000FF"/>
            <w:sz w:val="20"/>
            <w:szCs w:val="20"/>
            <w:u w:val="single"/>
            <w:lang w:val="en-GB"/>
          </w:rPr>
          <w:t xml:space="preserve">100-page Communication published on 2 May </w:t>
        </w:r>
        <w:r w:rsidR="00BB2431" w:rsidRPr="008431F3">
          <w:rPr>
            <w:rFonts w:ascii="Georgia" w:hAnsi="Georgia"/>
            <w:color w:val="0000FF"/>
            <w:sz w:val="20"/>
            <w:szCs w:val="20"/>
            <w:u w:val="single"/>
            <w:lang w:val="en-GB"/>
          </w:rPr>
          <w:t>2018</w:t>
        </w:r>
      </w:hyperlink>
      <w:r w:rsidRPr="008431F3">
        <w:rPr>
          <w:rFonts w:ascii="Georgia" w:hAnsi="Georgia"/>
          <w:sz w:val="20"/>
          <w:szCs w:val="20"/>
          <w:lang w:val="en-GB"/>
        </w:rPr>
        <w:t>, the Commission provide</w:t>
      </w:r>
      <w:r w:rsidR="00E27F83">
        <w:rPr>
          <w:rFonts w:ascii="Georgia" w:hAnsi="Georgia"/>
          <w:sz w:val="20"/>
          <w:szCs w:val="20"/>
          <w:lang w:val="en-GB"/>
        </w:rPr>
        <w:t>s</w:t>
      </w:r>
      <w:r w:rsidRPr="008431F3">
        <w:rPr>
          <w:rFonts w:ascii="Georgia" w:hAnsi="Georgia"/>
          <w:sz w:val="20"/>
          <w:szCs w:val="20"/>
          <w:lang w:val="en-GB"/>
        </w:rPr>
        <w:t xml:space="preserve"> more detailed insights into </w:t>
      </w:r>
      <w:r w:rsidR="008431F3" w:rsidRPr="008431F3">
        <w:rPr>
          <w:rFonts w:ascii="Georgia" w:hAnsi="Georgia"/>
          <w:sz w:val="20"/>
          <w:szCs w:val="20"/>
          <w:lang w:val="en-GB"/>
        </w:rPr>
        <w:t>the EU’s future financial architecture</w:t>
      </w:r>
      <w:r w:rsidRPr="008431F3">
        <w:rPr>
          <w:rFonts w:ascii="Georgia" w:hAnsi="Georgia"/>
          <w:sz w:val="20"/>
          <w:szCs w:val="20"/>
          <w:lang w:val="en-GB"/>
        </w:rPr>
        <w:t>. The Neighbourhood, Development and International Cooperation Instrument</w:t>
      </w:r>
      <w:r w:rsidR="00BB2431" w:rsidRPr="008431F3">
        <w:rPr>
          <w:rFonts w:ascii="Georgia" w:hAnsi="Georgia"/>
          <w:sz w:val="20"/>
          <w:szCs w:val="20"/>
          <w:lang w:val="en-GB"/>
        </w:rPr>
        <w:t xml:space="preserve"> </w:t>
      </w:r>
      <w:r w:rsidRPr="008431F3">
        <w:rPr>
          <w:rFonts w:ascii="Georgia" w:hAnsi="Georgia"/>
          <w:sz w:val="20"/>
          <w:szCs w:val="20"/>
          <w:lang w:val="en-GB"/>
        </w:rPr>
        <w:t>is presented on pages 79-83</w:t>
      </w:r>
      <w:r w:rsidR="00BB2431" w:rsidRPr="008431F3">
        <w:rPr>
          <w:rFonts w:ascii="Georgia" w:hAnsi="Georgia"/>
          <w:sz w:val="20"/>
          <w:szCs w:val="20"/>
          <w:lang w:val="en-GB"/>
        </w:rPr>
        <w:t xml:space="preserve">. </w:t>
      </w:r>
      <w:r w:rsidRPr="008431F3">
        <w:rPr>
          <w:rFonts w:ascii="Georgia" w:hAnsi="Georgia"/>
          <w:sz w:val="20"/>
          <w:szCs w:val="20"/>
          <w:lang w:val="en-GB"/>
        </w:rPr>
        <w:t xml:space="preserve">Alongside general statements about its </w:t>
      </w:r>
      <w:r w:rsidR="004E0F91" w:rsidRPr="008431F3">
        <w:rPr>
          <w:rFonts w:ascii="Georgia" w:hAnsi="Georgia"/>
          <w:sz w:val="20"/>
          <w:szCs w:val="20"/>
          <w:lang w:val="en-GB"/>
        </w:rPr>
        <w:t>contributions to</w:t>
      </w:r>
      <w:r w:rsidRPr="008431F3">
        <w:rPr>
          <w:rFonts w:ascii="Georgia" w:hAnsi="Georgia"/>
          <w:sz w:val="20"/>
          <w:szCs w:val="20"/>
          <w:lang w:val="en-GB"/>
        </w:rPr>
        <w:t xml:space="preserve"> peace, security, development and stability in the world, </w:t>
      </w:r>
      <w:r w:rsidR="004E0F91" w:rsidRPr="008431F3">
        <w:rPr>
          <w:rFonts w:ascii="Georgia" w:hAnsi="Georgia"/>
          <w:sz w:val="20"/>
          <w:szCs w:val="20"/>
          <w:lang w:val="en-GB"/>
        </w:rPr>
        <w:t xml:space="preserve">the Instrument is clearly </w:t>
      </w:r>
      <w:r w:rsidR="008431F3" w:rsidRPr="008431F3">
        <w:rPr>
          <w:rFonts w:ascii="Georgia" w:hAnsi="Georgia"/>
          <w:sz w:val="20"/>
          <w:szCs w:val="20"/>
          <w:lang w:val="en-GB"/>
        </w:rPr>
        <w:t>defined as having</w:t>
      </w:r>
      <w:r w:rsidR="004E0F91" w:rsidRPr="008431F3">
        <w:rPr>
          <w:rFonts w:ascii="Georgia" w:hAnsi="Georgia"/>
          <w:sz w:val="20"/>
          <w:szCs w:val="20"/>
          <w:lang w:val="en-GB"/>
        </w:rPr>
        <w:t xml:space="preserve"> the following general objectives</w:t>
      </w:r>
      <w:r w:rsidR="008431F3" w:rsidRPr="008431F3">
        <w:rPr>
          <w:rFonts w:ascii="Georgia" w:hAnsi="Georgia"/>
          <w:sz w:val="20"/>
          <w:szCs w:val="20"/>
          <w:lang w:val="en-GB"/>
        </w:rPr>
        <w:t>, among others</w:t>
      </w:r>
      <w:r w:rsidR="004E0F91" w:rsidRPr="008431F3">
        <w:rPr>
          <w:rFonts w:ascii="Georgia" w:hAnsi="Georgia"/>
          <w:sz w:val="20"/>
          <w:szCs w:val="20"/>
          <w:lang w:val="en-GB"/>
        </w:rPr>
        <w:t>: “</w:t>
      </w:r>
      <w:r w:rsidR="004E0F91" w:rsidRPr="00396CAF">
        <w:rPr>
          <w:rFonts w:ascii="Georgia" w:hAnsi="Georgia"/>
          <w:i/>
          <w:sz w:val="20"/>
          <w:szCs w:val="20"/>
          <w:lang w:val="en-GB"/>
        </w:rPr>
        <w:t>to address irregular migration</w:t>
      </w:r>
      <w:r w:rsidR="00CE1209">
        <w:rPr>
          <w:rFonts w:ascii="Georgia" w:hAnsi="Georgia"/>
          <w:sz w:val="20"/>
          <w:szCs w:val="20"/>
          <w:lang w:val="en-GB"/>
        </w:rPr>
        <w:t>”</w:t>
      </w:r>
      <w:r w:rsidR="004E0F91" w:rsidRPr="008431F3">
        <w:rPr>
          <w:rFonts w:ascii="Georgia" w:hAnsi="Georgia"/>
          <w:sz w:val="20"/>
          <w:szCs w:val="20"/>
          <w:lang w:val="en-GB"/>
        </w:rPr>
        <w:t xml:space="preserve"> and </w:t>
      </w:r>
      <w:r w:rsidR="00CE1209">
        <w:rPr>
          <w:rFonts w:ascii="Georgia" w:hAnsi="Georgia"/>
          <w:sz w:val="20"/>
          <w:szCs w:val="20"/>
          <w:lang w:val="en-GB"/>
        </w:rPr>
        <w:t>“</w:t>
      </w:r>
      <w:r w:rsidR="004E0F91" w:rsidRPr="00396CAF">
        <w:rPr>
          <w:rFonts w:ascii="Georgia" w:hAnsi="Georgia"/>
          <w:i/>
          <w:sz w:val="20"/>
          <w:szCs w:val="20"/>
          <w:lang w:val="en-GB"/>
        </w:rPr>
        <w:t>fight its root causes</w:t>
      </w:r>
      <w:r w:rsidR="004E0F91" w:rsidRPr="008431F3">
        <w:rPr>
          <w:rFonts w:ascii="Georgia" w:hAnsi="Georgia"/>
          <w:sz w:val="20"/>
          <w:szCs w:val="20"/>
          <w:lang w:val="en-GB"/>
        </w:rPr>
        <w:t xml:space="preserve">” </w:t>
      </w:r>
      <w:r w:rsidR="00BB2431" w:rsidRPr="008431F3">
        <w:rPr>
          <w:rFonts w:ascii="Georgia" w:hAnsi="Georgia"/>
          <w:sz w:val="20"/>
          <w:szCs w:val="20"/>
          <w:lang w:val="en-GB"/>
        </w:rPr>
        <w:t>(</w:t>
      </w:r>
      <w:r w:rsidR="004E0F91" w:rsidRPr="008431F3">
        <w:rPr>
          <w:rFonts w:ascii="Georgia" w:hAnsi="Georgia"/>
          <w:sz w:val="20"/>
          <w:szCs w:val="20"/>
          <w:lang w:val="en-GB"/>
        </w:rPr>
        <w:t>p</w:t>
      </w:r>
      <w:r w:rsidR="00BB2431" w:rsidRPr="008431F3">
        <w:rPr>
          <w:rFonts w:ascii="Georgia" w:hAnsi="Georgia"/>
          <w:sz w:val="20"/>
          <w:szCs w:val="20"/>
          <w:lang w:val="en-GB"/>
        </w:rPr>
        <w:t xml:space="preserve">. 80). </w:t>
      </w:r>
      <w:r w:rsidR="004E0F91" w:rsidRPr="008431F3">
        <w:rPr>
          <w:rFonts w:ascii="Georgia" w:hAnsi="Georgia"/>
          <w:sz w:val="20"/>
          <w:szCs w:val="20"/>
          <w:lang w:val="en-GB"/>
        </w:rPr>
        <w:t>And it continues</w:t>
      </w:r>
      <w:r w:rsidR="00BB2431" w:rsidRPr="008431F3">
        <w:rPr>
          <w:rFonts w:ascii="Georgia" w:hAnsi="Georgia"/>
          <w:sz w:val="20"/>
          <w:szCs w:val="20"/>
          <w:lang w:val="en-GB"/>
        </w:rPr>
        <w:t xml:space="preserve"> (</w:t>
      </w:r>
      <w:r w:rsidR="004E0F91" w:rsidRPr="008431F3">
        <w:rPr>
          <w:rFonts w:ascii="Georgia" w:hAnsi="Georgia"/>
          <w:sz w:val="20"/>
          <w:szCs w:val="20"/>
          <w:lang w:val="en-GB"/>
        </w:rPr>
        <w:t>on p</w:t>
      </w:r>
      <w:r w:rsidR="00BB2431" w:rsidRPr="008431F3">
        <w:rPr>
          <w:rFonts w:ascii="Georgia" w:hAnsi="Georgia"/>
          <w:sz w:val="20"/>
          <w:szCs w:val="20"/>
          <w:lang w:val="en-GB"/>
        </w:rPr>
        <w:t xml:space="preserve">. </w:t>
      </w:r>
      <w:r w:rsidR="00BB2431" w:rsidRPr="00A527BC">
        <w:rPr>
          <w:rFonts w:ascii="Georgia" w:hAnsi="Georgia"/>
          <w:sz w:val="20"/>
          <w:szCs w:val="20"/>
          <w:lang w:val="en-GB"/>
        </w:rPr>
        <w:t>8</w:t>
      </w:r>
      <w:r w:rsidR="004E0F91" w:rsidRPr="00A527BC">
        <w:rPr>
          <w:rFonts w:ascii="Georgia" w:hAnsi="Georgia"/>
          <w:sz w:val="20"/>
          <w:szCs w:val="20"/>
          <w:lang w:val="en-GB"/>
        </w:rPr>
        <w:t>2</w:t>
      </w:r>
      <w:r w:rsidR="00BB2431" w:rsidRPr="00A527BC">
        <w:rPr>
          <w:rFonts w:ascii="Georgia" w:hAnsi="Georgia"/>
          <w:sz w:val="20"/>
          <w:szCs w:val="20"/>
          <w:lang w:val="en-GB"/>
        </w:rPr>
        <w:t>)</w:t>
      </w:r>
      <w:r w:rsidR="00BB2431" w:rsidRPr="008431F3">
        <w:rPr>
          <w:rFonts w:ascii="Georgia" w:hAnsi="Georgia"/>
          <w:sz w:val="20"/>
          <w:szCs w:val="20"/>
          <w:lang w:val="en-GB"/>
        </w:rPr>
        <w:t xml:space="preserve">: </w:t>
      </w:r>
      <w:r w:rsidR="004E0F91" w:rsidRPr="008431F3">
        <w:rPr>
          <w:rFonts w:ascii="Georgia" w:hAnsi="Georgia"/>
          <w:sz w:val="20"/>
          <w:szCs w:val="20"/>
          <w:lang w:val="en-GB"/>
        </w:rPr>
        <w:t>“</w:t>
      </w:r>
      <w:r w:rsidR="00BB2431" w:rsidRPr="008431F3">
        <w:rPr>
          <w:rFonts w:ascii="Georgia" w:hAnsi="Georgia"/>
          <w:sz w:val="20"/>
          <w:szCs w:val="20"/>
          <w:lang w:val="en-GB"/>
        </w:rPr>
        <w:t>Migration is a priority which will be identified and addressed across the instrument and in the different pillars, including by drawing on unallocated funds.</w:t>
      </w:r>
      <w:r w:rsidR="008B6593" w:rsidRPr="008431F3">
        <w:rPr>
          <w:rFonts w:ascii="Georgia" w:hAnsi="Georgia"/>
          <w:sz w:val="20"/>
          <w:szCs w:val="20"/>
          <w:lang w:val="en-GB"/>
        </w:rPr>
        <w:t>”</w:t>
      </w:r>
      <w:r w:rsidR="00BB2431" w:rsidRPr="008431F3">
        <w:rPr>
          <w:rFonts w:ascii="Georgia" w:hAnsi="Georgia"/>
          <w:sz w:val="20"/>
          <w:szCs w:val="20"/>
          <w:lang w:val="en-GB"/>
        </w:rPr>
        <w:t> </w:t>
      </w:r>
    </w:p>
    <w:p w:rsidR="00BB2431" w:rsidRPr="008431F3" w:rsidRDefault="008431F3" w:rsidP="00BB2431">
      <w:pPr>
        <w:spacing w:before="100" w:beforeAutospacing="1" w:after="100" w:afterAutospacing="1"/>
        <w:rPr>
          <w:rFonts w:ascii="Georgia" w:hAnsi="Georgia"/>
          <w:sz w:val="20"/>
          <w:szCs w:val="20"/>
          <w:lang w:val="en-GB"/>
        </w:rPr>
      </w:pPr>
      <w:r w:rsidRPr="008431F3">
        <w:rPr>
          <w:rFonts w:ascii="Georgia" w:hAnsi="Georgia"/>
          <w:sz w:val="20"/>
          <w:szCs w:val="20"/>
          <w:lang w:val="en-GB"/>
        </w:rPr>
        <w:t>The Communication also clearly</w:t>
      </w:r>
      <w:r w:rsidR="004E0F91" w:rsidRPr="008431F3">
        <w:rPr>
          <w:rFonts w:ascii="Georgia" w:hAnsi="Georgia"/>
          <w:sz w:val="20"/>
          <w:szCs w:val="20"/>
          <w:lang w:val="en-GB"/>
        </w:rPr>
        <w:t xml:space="preserve"> state</w:t>
      </w:r>
      <w:r w:rsidRPr="008431F3">
        <w:rPr>
          <w:rFonts w:ascii="Georgia" w:hAnsi="Georgia"/>
          <w:sz w:val="20"/>
          <w:szCs w:val="20"/>
          <w:lang w:val="en-GB"/>
        </w:rPr>
        <w:t>s</w:t>
      </w:r>
      <w:r w:rsidR="004E0F91" w:rsidRPr="008431F3">
        <w:rPr>
          <w:rFonts w:ascii="Georgia" w:hAnsi="Georgia"/>
          <w:sz w:val="20"/>
          <w:szCs w:val="20"/>
          <w:lang w:val="en-GB"/>
        </w:rPr>
        <w:t xml:space="preserve"> that </w:t>
      </w:r>
      <w:r w:rsidR="00E27F83">
        <w:rPr>
          <w:rFonts w:ascii="Georgia" w:hAnsi="Georgia"/>
          <w:sz w:val="20"/>
          <w:szCs w:val="20"/>
          <w:lang w:val="en-GB"/>
        </w:rPr>
        <w:t>this budgetary flexibility</w:t>
      </w:r>
      <w:r w:rsidR="00BB2431" w:rsidRPr="008431F3">
        <w:rPr>
          <w:rFonts w:ascii="Georgia" w:hAnsi="Georgia"/>
          <w:sz w:val="20"/>
          <w:szCs w:val="20"/>
          <w:lang w:val="en-GB"/>
        </w:rPr>
        <w:t xml:space="preserve"> (</w:t>
      </w:r>
      <w:r w:rsidR="008B6593" w:rsidRPr="008431F3">
        <w:rPr>
          <w:rFonts w:ascii="Georgia" w:hAnsi="Georgia"/>
          <w:sz w:val="20"/>
          <w:szCs w:val="20"/>
          <w:lang w:val="en-GB"/>
        </w:rPr>
        <w:t>“</w:t>
      </w:r>
      <w:r w:rsidR="00BB2431" w:rsidRPr="008431F3">
        <w:rPr>
          <w:rFonts w:ascii="Georgia" w:hAnsi="Georgia"/>
          <w:sz w:val="20"/>
          <w:szCs w:val="20"/>
          <w:lang w:val="en-GB"/>
        </w:rPr>
        <w:t>rapid-response</w:t>
      </w:r>
      <w:r w:rsidR="004E0F91" w:rsidRPr="008431F3">
        <w:rPr>
          <w:rFonts w:ascii="Georgia" w:hAnsi="Georgia"/>
          <w:sz w:val="20"/>
          <w:szCs w:val="20"/>
          <w:lang w:val="en-GB"/>
        </w:rPr>
        <w:t xml:space="preserve"> </w:t>
      </w:r>
      <w:r w:rsidR="00BB2431" w:rsidRPr="008431F3">
        <w:rPr>
          <w:rFonts w:ascii="Georgia" w:hAnsi="Georgia"/>
          <w:sz w:val="20"/>
          <w:szCs w:val="20"/>
          <w:lang w:val="en-GB"/>
        </w:rPr>
        <w:t>pillar with worldwide scope</w:t>
      </w:r>
      <w:r w:rsidR="004E0F91" w:rsidRPr="008431F3">
        <w:rPr>
          <w:rFonts w:ascii="Georgia" w:hAnsi="Georgia"/>
          <w:sz w:val="20"/>
          <w:szCs w:val="20"/>
          <w:lang w:val="en-GB"/>
        </w:rPr>
        <w:t>”</w:t>
      </w:r>
      <w:r w:rsidR="00BB2431" w:rsidRPr="008431F3">
        <w:rPr>
          <w:rFonts w:ascii="Georgia" w:hAnsi="Georgia"/>
          <w:sz w:val="20"/>
          <w:szCs w:val="20"/>
          <w:lang w:val="en-GB"/>
        </w:rPr>
        <w:t>)</w:t>
      </w:r>
      <w:r w:rsidRPr="008431F3">
        <w:rPr>
          <w:rFonts w:ascii="Georgia" w:hAnsi="Georgia"/>
          <w:sz w:val="20"/>
          <w:szCs w:val="20"/>
          <w:lang w:val="en-GB"/>
        </w:rPr>
        <w:t xml:space="preserve"> will enable funding to be </w:t>
      </w:r>
      <w:r w:rsidR="00E27F83">
        <w:rPr>
          <w:rFonts w:ascii="Georgia" w:hAnsi="Georgia"/>
          <w:sz w:val="20"/>
          <w:szCs w:val="20"/>
          <w:lang w:val="en-GB"/>
        </w:rPr>
        <w:t>provided for</w:t>
      </w:r>
      <w:r w:rsidR="004E0F91" w:rsidRPr="008431F3">
        <w:rPr>
          <w:rFonts w:ascii="Georgia" w:hAnsi="Georgia"/>
          <w:sz w:val="20"/>
          <w:szCs w:val="20"/>
          <w:lang w:val="en-GB"/>
        </w:rPr>
        <w:t xml:space="preserve"> </w:t>
      </w:r>
      <w:r w:rsidR="00CE1209">
        <w:rPr>
          <w:rFonts w:ascii="Georgia" w:hAnsi="Georgia"/>
          <w:sz w:val="20"/>
          <w:szCs w:val="20"/>
          <w:lang w:val="en-GB"/>
        </w:rPr>
        <w:t xml:space="preserve">the </w:t>
      </w:r>
      <w:r w:rsidR="00CE1209" w:rsidRPr="00396CAF">
        <w:rPr>
          <w:rFonts w:ascii="Georgia" w:hAnsi="Georgia"/>
          <w:i/>
          <w:sz w:val="20"/>
          <w:szCs w:val="20"/>
          <w:lang w:val="en-GB"/>
        </w:rPr>
        <w:t>training and equipping of the</w:t>
      </w:r>
      <w:r w:rsidR="004E0F91" w:rsidRPr="00396CAF">
        <w:rPr>
          <w:rFonts w:ascii="Georgia" w:hAnsi="Georgia"/>
          <w:i/>
          <w:sz w:val="20"/>
          <w:szCs w:val="20"/>
          <w:lang w:val="en-GB"/>
        </w:rPr>
        <w:t xml:space="preserve"> security apparatus in partner countries</w:t>
      </w:r>
      <w:r w:rsidR="004E0F91" w:rsidRPr="008431F3">
        <w:rPr>
          <w:rFonts w:ascii="Georgia" w:hAnsi="Georgia"/>
          <w:sz w:val="20"/>
          <w:szCs w:val="20"/>
          <w:lang w:val="en-GB"/>
        </w:rPr>
        <w:t xml:space="preserve"> </w:t>
      </w:r>
      <w:r w:rsidR="00BB2431" w:rsidRPr="008431F3">
        <w:rPr>
          <w:rFonts w:ascii="Georgia" w:hAnsi="Georgia"/>
          <w:sz w:val="20"/>
          <w:szCs w:val="20"/>
          <w:lang w:val="en-GB"/>
        </w:rPr>
        <w:t>(</w:t>
      </w:r>
      <w:r w:rsidR="004E0F91" w:rsidRPr="008431F3">
        <w:rPr>
          <w:rFonts w:ascii="Georgia" w:hAnsi="Georgia"/>
          <w:sz w:val="20"/>
          <w:szCs w:val="20"/>
          <w:lang w:val="en-GB"/>
        </w:rPr>
        <w:t>p</w:t>
      </w:r>
      <w:r w:rsidR="00BB2431" w:rsidRPr="008431F3">
        <w:rPr>
          <w:rFonts w:ascii="Georgia" w:hAnsi="Georgia"/>
          <w:sz w:val="20"/>
          <w:szCs w:val="20"/>
          <w:lang w:val="en-GB"/>
        </w:rPr>
        <w:t xml:space="preserve">. 82). </w:t>
      </w:r>
      <w:r w:rsidR="004E0F91" w:rsidRPr="008431F3">
        <w:rPr>
          <w:rFonts w:ascii="Georgia" w:hAnsi="Georgia"/>
          <w:sz w:val="20"/>
          <w:szCs w:val="20"/>
          <w:lang w:val="en-GB"/>
        </w:rPr>
        <w:t xml:space="preserve">This expenditure </w:t>
      </w:r>
      <w:r w:rsidR="00CB41AB" w:rsidRPr="008431F3">
        <w:rPr>
          <w:rFonts w:ascii="Georgia" w:hAnsi="Georgia"/>
          <w:sz w:val="20"/>
          <w:szCs w:val="20"/>
          <w:lang w:val="en-GB"/>
        </w:rPr>
        <w:t xml:space="preserve">mainly focuses on </w:t>
      </w:r>
      <w:r w:rsidR="004E0F91" w:rsidRPr="008431F3">
        <w:rPr>
          <w:rFonts w:ascii="Georgia" w:hAnsi="Georgia"/>
          <w:sz w:val="20"/>
          <w:szCs w:val="20"/>
          <w:lang w:val="en-GB"/>
        </w:rPr>
        <w:t xml:space="preserve">the armed forces </w:t>
      </w:r>
      <w:r w:rsidR="00CE1209">
        <w:rPr>
          <w:rFonts w:ascii="Georgia" w:hAnsi="Georgia"/>
          <w:sz w:val="20"/>
          <w:szCs w:val="20"/>
          <w:lang w:val="en-GB"/>
        </w:rPr>
        <w:t xml:space="preserve">in African </w:t>
      </w:r>
      <w:r w:rsidR="00396CAF">
        <w:rPr>
          <w:rFonts w:ascii="Georgia" w:hAnsi="Georgia"/>
          <w:sz w:val="20"/>
          <w:szCs w:val="20"/>
          <w:lang w:val="en-GB"/>
        </w:rPr>
        <w:t xml:space="preserve">partner </w:t>
      </w:r>
      <w:r w:rsidR="00CE1209">
        <w:rPr>
          <w:rFonts w:ascii="Georgia" w:hAnsi="Georgia"/>
          <w:sz w:val="20"/>
          <w:szCs w:val="20"/>
          <w:lang w:val="en-GB"/>
        </w:rPr>
        <w:t xml:space="preserve">countries </w:t>
      </w:r>
      <w:r w:rsidR="00282EB7">
        <w:rPr>
          <w:rFonts w:ascii="Georgia" w:hAnsi="Georgia"/>
          <w:sz w:val="20"/>
          <w:szCs w:val="20"/>
          <w:lang w:val="en-GB"/>
        </w:rPr>
        <w:t xml:space="preserve">that have been </w:t>
      </w:r>
      <w:r w:rsidR="00CE1209">
        <w:rPr>
          <w:rFonts w:ascii="Georgia" w:hAnsi="Georgia"/>
          <w:sz w:val="20"/>
          <w:szCs w:val="20"/>
          <w:lang w:val="en-GB"/>
        </w:rPr>
        <w:t xml:space="preserve">specially selected </w:t>
      </w:r>
      <w:r w:rsidR="00CE1209" w:rsidRPr="00CE1209">
        <w:rPr>
          <w:rFonts w:ascii="Georgia" w:hAnsi="Georgia"/>
          <w:sz w:val="20"/>
          <w:szCs w:val="20"/>
          <w:lang w:val="en-GB"/>
        </w:rPr>
        <w:t>for “Capacity Building for Security and Development”</w:t>
      </w:r>
      <w:r w:rsidR="00CB41AB" w:rsidRPr="008431F3">
        <w:rPr>
          <w:rFonts w:ascii="Georgia" w:hAnsi="Georgia"/>
          <w:sz w:val="20"/>
          <w:szCs w:val="20"/>
          <w:lang w:val="en-GB"/>
        </w:rPr>
        <w:t xml:space="preserve">, with an emphasis on counterterrorism, organised crime, drug and human trafficking, border management and control of migration. Here, specific mention is made of the </w:t>
      </w:r>
      <w:r w:rsidR="00CE1209">
        <w:rPr>
          <w:rFonts w:ascii="Georgia" w:hAnsi="Georgia"/>
          <w:sz w:val="20"/>
          <w:szCs w:val="20"/>
          <w:lang w:val="en-GB"/>
        </w:rPr>
        <w:t>possibility</w:t>
      </w:r>
      <w:r w:rsidR="00CB41AB" w:rsidRPr="008431F3">
        <w:rPr>
          <w:rFonts w:ascii="Georgia" w:hAnsi="Georgia"/>
          <w:sz w:val="20"/>
          <w:szCs w:val="20"/>
          <w:lang w:val="en-GB"/>
        </w:rPr>
        <w:t xml:space="preserve"> to make </w:t>
      </w:r>
      <w:r w:rsidR="00282EB7">
        <w:rPr>
          <w:rFonts w:ascii="Georgia" w:hAnsi="Georgia"/>
          <w:sz w:val="20"/>
          <w:szCs w:val="20"/>
          <w:lang w:val="en-GB"/>
        </w:rPr>
        <w:t>fast and flexible use of unallocated funds</w:t>
      </w:r>
      <w:r w:rsidR="00BB2431" w:rsidRPr="008431F3">
        <w:rPr>
          <w:rFonts w:ascii="Georgia" w:hAnsi="Georgia"/>
          <w:sz w:val="20"/>
          <w:szCs w:val="20"/>
          <w:lang w:val="en-GB"/>
        </w:rPr>
        <w:t xml:space="preserve"> </w:t>
      </w:r>
      <w:r w:rsidR="00FB58F2" w:rsidRPr="008431F3">
        <w:rPr>
          <w:rFonts w:ascii="Georgia" w:hAnsi="Georgia"/>
          <w:sz w:val="20"/>
          <w:szCs w:val="20"/>
          <w:lang w:val="en-GB"/>
        </w:rPr>
        <w:t>“</w:t>
      </w:r>
      <w:r w:rsidR="00BB2431" w:rsidRPr="008431F3">
        <w:rPr>
          <w:rFonts w:ascii="Georgia" w:hAnsi="Georgia"/>
          <w:sz w:val="20"/>
          <w:szCs w:val="20"/>
          <w:lang w:val="en-GB"/>
        </w:rPr>
        <w:t>to address migratory pressures ... but also to address unforeseen events, stability needs and new international initiatives and priorities</w:t>
      </w:r>
      <w:r w:rsidR="00CB41AB" w:rsidRPr="008431F3">
        <w:rPr>
          <w:rFonts w:ascii="Georgia" w:hAnsi="Georgia"/>
          <w:sz w:val="20"/>
          <w:szCs w:val="20"/>
          <w:lang w:val="en-GB"/>
        </w:rPr>
        <w:t>”.</w:t>
      </w:r>
      <w:r w:rsidR="00BB2431" w:rsidRPr="008431F3">
        <w:rPr>
          <w:rFonts w:ascii="Georgia" w:hAnsi="Georgia"/>
          <w:sz w:val="20"/>
          <w:szCs w:val="20"/>
          <w:lang w:val="en-GB"/>
        </w:rPr>
        <w:t xml:space="preserve"> </w:t>
      </w:r>
      <w:r w:rsidR="00305E13">
        <w:rPr>
          <w:rFonts w:ascii="Georgia" w:hAnsi="Georgia"/>
          <w:sz w:val="20"/>
          <w:szCs w:val="20"/>
          <w:lang w:val="en-GB"/>
        </w:rPr>
        <w:t>Additional</w:t>
      </w:r>
      <w:r w:rsidR="00CB41AB" w:rsidRPr="008431F3">
        <w:rPr>
          <w:rFonts w:ascii="Georgia" w:hAnsi="Georgia"/>
          <w:sz w:val="20"/>
          <w:szCs w:val="20"/>
          <w:lang w:val="en-GB"/>
        </w:rPr>
        <w:t xml:space="preserve"> </w:t>
      </w:r>
      <w:r w:rsidR="00A527BC">
        <w:rPr>
          <w:rFonts w:ascii="Georgia" w:hAnsi="Georgia"/>
          <w:sz w:val="20"/>
          <w:szCs w:val="20"/>
          <w:lang w:val="en-GB"/>
        </w:rPr>
        <w:t>“</w:t>
      </w:r>
      <w:r w:rsidR="00CB41AB" w:rsidRPr="008431F3">
        <w:rPr>
          <w:rFonts w:ascii="Georgia" w:hAnsi="Georgia"/>
          <w:sz w:val="20"/>
          <w:szCs w:val="20"/>
          <w:lang w:val="en-GB"/>
        </w:rPr>
        <w:t xml:space="preserve">capacity </w:t>
      </w:r>
      <w:r w:rsidR="00A527BC">
        <w:rPr>
          <w:rFonts w:ascii="Georgia" w:hAnsi="Georgia"/>
          <w:sz w:val="20"/>
          <w:szCs w:val="20"/>
          <w:lang w:val="en-GB"/>
        </w:rPr>
        <w:t xml:space="preserve">building” </w:t>
      </w:r>
      <w:r w:rsidR="00396CAF">
        <w:rPr>
          <w:rFonts w:ascii="Georgia" w:hAnsi="Georgia"/>
          <w:sz w:val="20"/>
          <w:szCs w:val="20"/>
          <w:lang w:val="en-GB"/>
        </w:rPr>
        <w:t>programmes</w:t>
      </w:r>
      <w:r w:rsidR="00CB41AB" w:rsidRPr="008431F3">
        <w:rPr>
          <w:rFonts w:ascii="Georgia" w:hAnsi="Georgia"/>
          <w:sz w:val="20"/>
          <w:szCs w:val="20"/>
          <w:lang w:val="en-GB"/>
        </w:rPr>
        <w:t xml:space="preserve"> </w:t>
      </w:r>
      <w:r w:rsidR="00305E13">
        <w:rPr>
          <w:rFonts w:ascii="Georgia" w:hAnsi="Georgia"/>
          <w:sz w:val="20"/>
          <w:szCs w:val="20"/>
          <w:lang w:val="en-GB"/>
        </w:rPr>
        <w:t xml:space="preserve">aiming at training and equipping military and police institutions </w:t>
      </w:r>
      <w:r w:rsidR="00CB41AB" w:rsidRPr="008431F3">
        <w:rPr>
          <w:rFonts w:ascii="Georgia" w:hAnsi="Georgia"/>
          <w:sz w:val="20"/>
          <w:szCs w:val="20"/>
          <w:lang w:val="en-GB"/>
        </w:rPr>
        <w:t xml:space="preserve">will be funded through the </w:t>
      </w:r>
      <w:r w:rsidR="00305E13">
        <w:rPr>
          <w:rFonts w:ascii="Georgia" w:hAnsi="Georgia"/>
          <w:sz w:val="20"/>
          <w:szCs w:val="20"/>
          <w:lang w:val="en-GB"/>
        </w:rPr>
        <w:t>“</w:t>
      </w:r>
      <w:r w:rsidR="00CB41AB" w:rsidRPr="008431F3">
        <w:rPr>
          <w:rFonts w:ascii="Georgia" w:hAnsi="Georgia"/>
          <w:sz w:val="20"/>
          <w:szCs w:val="20"/>
          <w:lang w:val="en-GB"/>
        </w:rPr>
        <w:t>European Peace Facility</w:t>
      </w:r>
      <w:r w:rsidR="00305E13">
        <w:rPr>
          <w:rFonts w:ascii="Georgia" w:hAnsi="Georgia"/>
          <w:sz w:val="20"/>
          <w:szCs w:val="20"/>
          <w:lang w:val="en-GB"/>
        </w:rPr>
        <w:t>”</w:t>
      </w:r>
      <w:r w:rsidR="00CB41AB" w:rsidRPr="008431F3">
        <w:rPr>
          <w:rFonts w:ascii="Georgia" w:hAnsi="Georgia"/>
          <w:sz w:val="20"/>
          <w:szCs w:val="20"/>
          <w:lang w:val="en-GB"/>
        </w:rPr>
        <w:t xml:space="preserve">, an off-budget instrument proposed outside the Multiannual Financial Framework </w:t>
      </w:r>
      <w:r w:rsidR="00BB2431" w:rsidRPr="008431F3">
        <w:rPr>
          <w:rFonts w:ascii="Georgia" w:hAnsi="Georgia"/>
          <w:sz w:val="20"/>
          <w:szCs w:val="20"/>
          <w:lang w:val="en-GB"/>
        </w:rPr>
        <w:t>(</w:t>
      </w:r>
      <w:r w:rsidR="00CB41AB" w:rsidRPr="008431F3">
        <w:rPr>
          <w:rFonts w:ascii="Georgia" w:hAnsi="Georgia"/>
          <w:sz w:val="20"/>
          <w:szCs w:val="20"/>
          <w:lang w:val="en-GB"/>
        </w:rPr>
        <w:t>p</w:t>
      </w:r>
      <w:r w:rsidR="00BB2431" w:rsidRPr="008431F3">
        <w:rPr>
          <w:rFonts w:ascii="Georgia" w:hAnsi="Georgia"/>
          <w:sz w:val="20"/>
          <w:szCs w:val="20"/>
          <w:lang w:val="en-GB"/>
        </w:rPr>
        <w:t xml:space="preserve">. 99). </w:t>
      </w:r>
    </w:p>
    <w:p w:rsidR="008B2CE6" w:rsidRPr="008431F3" w:rsidRDefault="008B2CE6" w:rsidP="00BB2431">
      <w:pPr>
        <w:spacing w:before="100" w:beforeAutospacing="1" w:after="100" w:afterAutospacing="1"/>
        <w:outlineLvl w:val="2"/>
        <w:rPr>
          <w:rFonts w:ascii="Georgia" w:hAnsi="Georgia"/>
          <w:b/>
          <w:bCs/>
          <w:sz w:val="20"/>
          <w:szCs w:val="20"/>
          <w:lang w:val="en-GB"/>
        </w:rPr>
      </w:pPr>
    </w:p>
    <w:p w:rsidR="00BB2431" w:rsidRPr="008431F3" w:rsidRDefault="00CB41AB" w:rsidP="00BB2431">
      <w:pPr>
        <w:spacing w:before="100" w:beforeAutospacing="1" w:after="100" w:afterAutospacing="1"/>
        <w:outlineLvl w:val="2"/>
        <w:rPr>
          <w:rFonts w:ascii="Georgia" w:hAnsi="Georgia"/>
          <w:b/>
          <w:bCs/>
          <w:sz w:val="20"/>
          <w:szCs w:val="20"/>
          <w:lang w:val="en-GB"/>
        </w:rPr>
      </w:pPr>
      <w:r w:rsidRPr="008431F3">
        <w:rPr>
          <w:rFonts w:ascii="Georgia" w:hAnsi="Georgia"/>
          <w:b/>
          <w:bCs/>
          <w:sz w:val="20"/>
          <w:szCs w:val="20"/>
          <w:lang w:val="en-GB"/>
        </w:rPr>
        <w:t>Political demands and alternatives</w:t>
      </w:r>
    </w:p>
    <w:p w:rsidR="00BB2431" w:rsidRPr="008431F3" w:rsidRDefault="002166F9" w:rsidP="00BB2431">
      <w:pPr>
        <w:spacing w:before="100" w:beforeAutospacing="1" w:after="100" w:afterAutospacing="1"/>
        <w:rPr>
          <w:rFonts w:ascii="Georgia" w:hAnsi="Georgia"/>
          <w:sz w:val="20"/>
          <w:szCs w:val="20"/>
          <w:lang w:val="en-GB"/>
        </w:rPr>
      </w:pPr>
      <w:r w:rsidRPr="008431F3">
        <w:rPr>
          <w:rFonts w:ascii="Georgia" w:hAnsi="Georgia"/>
          <w:sz w:val="20"/>
          <w:szCs w:val="20"/>
          <w:lang w:val="en-GB"/>
        </w:rPr>
        <w:t>Bread for the World urges political leaders and decision-makers to rethink the Commission’s plans</w:t>
      </w:r>
      <w:r w:rsidR="00E27F83">
        <w:rPr>
          <w:rFonts w:ascii="Georgia" w:hAnsi="Georgia"/>
          <w:sz w:val="20"/>
          <w:szCs w:val="20"/>
          <w:lang w:val="en-GB"/>
        </w:rPr>
        <w:t xml:space="preserve"> </w:t>
      </w:r>
      <w:r w:rsidR="00E27F83" w:rsidRPr="00305E13">
        <w:rPr>
          <w:rFonts w:ascii="Georgia" w:hAnsi="Georgia"/>
          <w:sz w:val="20"/>
          <w:szCs w:val="20"/>
          <w:lang w:val="en-GB"/>
        </w:rPr>
        <w:t>and align its proposals</w:t>
      </w:r>
      <w:r w:rsidR="00E67B6D" w:rsidRPr="00305E13">
        <w:rPr>
          <w:rFonts w:ascii="Georgia" w:hAnsi="Georgia"/>
          <w:sz w:val="20"/>
          <w:szCs w:val="20"/>
          <w:lang w:val="en-GB"/>
        </w:rPr>
        <w:t xml:space="preserve"> with</w:t>
      </w:r>
      <w:r w:rsidR="00E67B6D" w:rsidRPr="00282EB7">
        <w:rPr>
          <w:rFonts w:ascii="Georgia" w:hAnsi="Georgia"/>
          <w:sz w:val="20"/>
          <w:szCs w:val="20"/>
          <w:lang w:val="en-GB"/>
        </w:rPr>
        <w:t xml:space="preserve"> those</w:t>
      </w:r>
      <w:r w:rsidR="00E67B6D" w:rsidRPr="008431F3">
        <w:rPr>
          <w:rFonts w:ascii="Georgia" w:hAnsi="Georgia"/>
          <w:sz w:val="20"/>
          <w:szCs w:val="20"/>
          <w:lang w:val="en-GB"/>
        </w:rPr>
        <w:t xml:space="preserve"> put forward by NGO networks at European level </w:t>
      </w:r>
      <w:r w:rsidR="00BB2431" w:rsidRPr="008431F3">
        <w:rPr>
          <w:rFonts w:ascii="Georgia" w:hAnsi="Georgia"/>
          <w:sz w:val="20"/>
          <w:szCs w:val="20"/>
          <w:lang w:val="en-GB"/>
        </w:rPr>
        <w:t>(</w:t>
      </w:r>
      <w:r w:rsidR="00E67B6D" w:rsidRPr="008431F3">
        <w:rPr>
          <w:rFonts w:ascii="Georgia" w:hAnsi="Georgia"/>
          <w:sz w:val="20"/>
          <w:szCs w:val="20"/>
          <w:lang w:val="en-GB"/>
        </w:rPr>
        <w:t>e.g.</w:t>
      </w:r>
      <w:hyperlink r:id="rId15" w:history="1">
        <w:r w:rsidR="00CB41AB" w:rsidRPr="008431F3">
          <w:rPr>
            <w:rStyle w:val="Hyperlink"/>
            <w:rFonts w:ascii="Georgia" w:hAnsi="Georgia"/>
            <w:sz w:val="20"/>
            <w:szCs w:val="20"/>
            <w:lang w:val="en-GB"/>
          </w:rPr>
          <w:t xml:space="preserve"> </w:t>
        </w:r>
        <w:r w:rsidR="00BB2431" w:rsidRPr="008431F3">
          <w:rPr>
            <w:rStyle w:val="Hyperlink"/>
            <w:rFonts w:ascii="Georgia" w:hAnsi="Georgia"/>
            <w:sz w:val="20"/>
            <w:szCs w:val="20"/>
            <w:lang w:val="en-GB"/>
          </w:rPr>
          <w:t>CONCORD</w:t>
        </w:r>
      </w:hyperlink>
      <w:r w:rsidR="00BB2431" w:rsidRPr="008431F3">
        <w:rPr>
          <w:rFonts w:ascii="Georgia" w:hAnsi="Georgia"/>
          <w:sz w:val="20"/>
          <w:szCs w:val="20"/>
          <w:lang w:val="en-GB"/>
        </w:rPr>
        <w:t xml:space="preserve"> </w:t>
      </w:r>
      <w:r w:rsidR="00CB41AB" w:rsidRPr="008431F3">
        <w:rPr>
          <w:rFonts w:ascii="Georgia" w:hAnsi="Georgia"/>
          <w:sz w:val="20"/>
          <w:szCs w:val="20"/>
          <w:lang w:val="en-GB"/>
        </w:rPr>
        <w:t xml:space="preserve">– the European NGO Confederation for Relief and Development, and the </w:t>
      </w:r>
      <w:hyperlink r:id="rId16" w:history="1">
        <w:r w:rsidR="00BB2431" w:rsidRPr="008431F3">
          <w:rPr>
            <w:rStyle w:val="Hyperlink"/>
            <w:rFonts w:ascii="Georgia" w:hAnsi="Georgia"/>
            <w:sz w:val="20"/>
            <w:szCs w:val="20"/>
            <w:lang w:val="en-GB"/>
          </w:rPr>
          <w:t>Human Rights and Democracy Network</w:t>
        </w:r>
        <w:r w:rsidR="00CB41AB" w:rsidRPr="008431F3">
          <w:rPr>
            <w:rStyle w:val="Hyperlink"/>
            <w:rFonts w:ascii="Georgia" w:hAnsi="Georgia"/>
            <w:sz w:val="20"/>
            <w:szCs w:val="20"/>
            <w:lang w:val="en-GB"/>
          </w:rPr>
          <w:t xml:space="preserve"> –</w:t>
        </w:r>
        <w:r w:rsidR="00BB2431" w:rsidRPr="008431F3">
          <w:rPr>
            <w:rStyle w:val="Hyperlink"/>
            <w:rFonts w:ascii="Georgia" w:hAnsi="Georgia"/>
            <w:sz w:val="20"/>
            <w:szCs w:val="20"/>
            <w:lang w:val="en-GB"/>
          </w:rPr>
          <w:t xml:space="preserve"> HRDN</w:t>
        </w:r>
      </w:hyperlink>
      <w:r w:rsidR="00BB2431" w:rsidRPr="008431F3">
        <w:rPr>
          <w:rFonts w:ascii="Georgia" w:hAnsi="Georgia"/>
          <w:sz w:val="20"/>
          <w:szCs w:val="20"/>
          <w:lang w:val="en-GB"/>
        </w:rPr>
        <w:t xml:space="preserve">). </w:t>
      </w:r>
      <w:r w:rsidR="00A112CE">
        <w:rPr>
          <w:rFonts w:ascii="Georgia" w:hAnsi="Georgia"/>
          <w:sz w:val="20"/>
          <w:szCs w:val="20"/>
          <w:lang w:val="en-GB"/>
        </w:rPr>
        <w:t>Specifically, o</w:t>
      </w:r>
      <w:r w:rsidR="008431F3" w:rsidRPr="008431F3">
        <w:rPr>
          <w:rFonts w:ascii="Georgia" w:hAnsi="Georgia"/>
          <w:sz w:val="20"/>
          <w:szCs w:val="20"/>
          <w:lang w:val="en-GB"/>
        </w:rPr>
        <w:t>ur demands are as follows</w:t>
      </w:r>
      <w:r w:rsidR="00E67B6D" w:rsidRPr="008431F3">
        <w:rPr>
          <w:rFonts w:ascii="Georgia" w:hAnsi="Georgia"/>
          <w:sz w:val="20"/>
          <w:szCs w:val="20"/>
          <w:lang w:val="en-GB"/>
        </w:rPr>
        <w:t>:</w:t>
      </w:r>
    </w:p>
    <w:p w:rsidR="00BB2431" w:rsidRPr="008431F3" w:rsidRDefault="00CB41AB" w:rsidP="00BB2431">
      <w:pPr>
        <w:numPr>
          <w:ilvl w:val="0"/>
          <w:numId w:val="1"/>
        </w:numPr>
        <w:spacing w:before="100" w:beforeAutospacing="1" w:after="100" w:afterAutospacing="1"/>
        <w:rPr>
          <w:rFonts w:ascii="Georgia" w:hAnsi="Georgia"/>
          <w:sz w:val="20"/>
          <w:szCs w:val="20"/>
          <w:lang w:val="en-GB"/>
        </w:rPr>
      </w:pPr>
      <w:r w:rsidRPr="008431F3">
        <w:rPr>
          <w:rFonts w:ascii="Georgia" w:hAnsi="Georgia"/>
          <w:sz w:val="20"/>
          <w:szCs w:val="20"/>
          <w:lang w:val="en-GB"/>
        </w:rPr>
        <w:t>maintain</w:t>
      </w:r>
      <w:r w:rsidR="00E67B6D" w:rsidRPr="008431F3">
        <w:rPr>
          <w:rFonts w:ascii="Georgia" w:hAnsi="Georgia"/>
          <w:sz w:val="20"/>
          <w:szCs w:val="20"/>
          <w:lang w:val="en-GB"/>
        </w:rPr>
        <w:t xml:space="preserve"> the </w:t>
      </w:r>
      <w:r w:rsidR="00BB2431" w:rsidRPr="008431F3">
        <w:rPr>
          <w:rFonts w:ascii="Georgia" w:hAnsi="Georgia"/>
          <w:i/>
          <w:sz w:val="20"/>
          <w:szCs w:val="20"/>
          <w:lang w:val="en-GB"/>
        </w:rPr>
        <w:t>Instrument contributing to Stability and Peace</w:t>
      </w:r>
      <w:r w:rsidR="00E67B6D" w:rsidRPr="008431F3">
        <w:rPr>
          <w:rFonts w:ascii="Georgia" w:hAnsi="Georgia"/>
          <w:i/>
          <w:sz w:val="20"/>
          <w:szCs w:val="20"/>
          <w:lang w:val="en-GB"/>
        </w:rPr>
        <w:t xml:space="preserve"> </w:t>
      </w:r>
      <w:r w:rsidR="00BB2431" w:rsidRPr="008431F3">
        <w:rPr>
          <w:rFonts w:ascii="Georgia" w:hAnsi="Georgia"/>
          <w:i/>
          <w:sz w:val="20"/>
          <w:szCs w:val="20"/>
          <w:lang w:val="en-GB"/>
        </w:rPr>
        <w:t>(IcSP)</w:t>
      </w:r>
      <w:r w:rsidR="00BB2431" w:rsidRPr="008431F3">
        <w:rPr>
          <w:rFonts w:ascii="Georgia" w:hAnsi="Georgia"/>
          <w:sz w:val="20"/>
          <w:szCs w:val="20"/>
          <w:lang w:val="en-GB"/>
        </w:rPr>
        <w:t xml:space="preserve"> </w:t>
      </w:r>
      <w:r w:rsidR="00E67B6D" w:rsidRPr="008431F3">
        <w:rPr>
          <w:rFonts w:ascii="Georgia" w:hAnsi="Georgia"/>
          <w:sz w:val="20"/>
          <w:szCs w:val="20"/>
          <w:lang w:val="en-GB"/>
        </w:rPr>
        <w:t xml:space="preserve">and the </w:t>
      </w:r>
      <w:r w:rsidR="00BB2431" w:rsidRPr="008431F3">
        <w:rPr>
          <w:rFonts w:ascii="Georgia" w:hAnsi="Georgia"/>
          <w:i/>
          <w:sz w:val="20"/>
          <w:szCs w:val="20"/>
          <w:lang w:val="en-GB"/>
        </w:rPr>
        <w:t>European Instrument for Democracy and Human Rights (EIDHR)</w:t>
      </w:r>
      <w:r w:rsidR="00BB2431" w:rsidRPr="008431F3">
        <w:rPr>
          <w:rFonts w:ascii="Georgia" w:hAnsi="Georgia"/>
          <w:sz w:val="20"/>
          <w:szCs w:val="20"/>
          <w:lang w:val="en-GB"/>
        </w:rPr>
        <w:t xml:space="preserve"> </w:t>
      </w:r>
      <w:r w:rsidR="00E67B6D" w:rsidRPr="008431F3">
        <w:rPr>
          <w:rFonts w:ascii="Georgia" w:hAnsi="Georgia"/>
          <w:sz w:val="20"/>
          <w:szCs w:val="20"/>
          <w:lang w:val="en-GB"/>
        </w:rPr>
        <w:t xml:space="preserve">as self-standing funding mechanisms to support civil/civil society conflict </w:t>
      </w:r>
      <w:r w:rsidR="00E67B6D" w:rsidRPr="008431F3">
        <w:rPr>
          <w:rFonts w:ascii="Georgia" w:hAnsi="Georgia"/>
          <w:sz w:val="20"/>
          <w:szCs w:val="20"/>
          <w:lang w:val="en-GB"/>
        </w:rPr>
        <w:lastRenderedPageBreak/>
        <w:t xml:space="preserve">prevention and peacebuilding and the protection of human rights defenders; </w:t>
      </w:r>
    </w:p>
    <w:p w:rsidR="00BB2431" w:rsidRPr="008431F3" w:rsidRDefault="00E67B6D" w:rsidP="00BB2431">
      <w:pPr>
        <w:numPr>
          <w:ilvl w:val="0"/>
          <w:numId w:val="1"/>
        </w:numPr>
        <w:spacing w:before="100" w:beforeAutospacing="1" w:after="100" w:afterAutospacing="1"/>
        <w:rPr>
          <w:rFonts w:ascii="Georgia" w:hAnsi="Georgia"/>
          <w:sz w:val="20"/>
          <w:szCs w:val="20"/>
          <w:lang w:val="en-GB"/>
        </w:rPr>
      </w:pPr>
      <w:r w:rsidRPr="008431F3">
        <w:rPr>
          <w:rFonts w:ascii="Georgia" w:hAnsi="Georgia"/>
          <w:sz w:val="20"/>
          <w:szCs w:val="20"/>
          <w:lang w:val="en-GB"/>
        </w:rPr>
        <w:t xml:space="preserve">increase spending on international aid and retain </w:t>
      </w:r>
      <w:r w:rsidRPr="00E4701E">
        <w:rPr>
          <w:rFonts w:ascii="Georgia" w:hAnsi="Georgia"/>
          <w:i/>
          <w:sz w:val="20"/>
          <w:szCs w:val="20"/>
          <w:lang w:val="en-GB"/>
        </w:rPr>
        <w:t xml:space="preserve">a self-standing </w:t>
      </w:r>
      <w:r w:rsidR="00282EB7" w:rsidRPr="00E4701E">
        <w:rPr>
          <w:rFonts w:ascii="Georgia" w:hAnsi="Georgia"/>
          <w:i/>
          <w:sz w:val="20"/>
          <w:szCs w:val="20"/>
          <w:lang w:val="en-GB"/>
        </w:rPr>
        <w:t>financing instrument</w:t>
      </w:r>
      <w:r w:rsidRPr="00E4701E">
        <w:rPr>
          <w:rFonts w:ascii="Georgia" w:hAnsi="Georgia"/>
          <w:i/>
          <w:sz w:val="20"/>
          <w:szCs w:val="20"/>
          <w:lang w:val="en-GB"/>
        </w:rPr>
        <w:t xml:space="preserve"> oriented </w:t>
      </w:r>
      <w:r w:rsidR="00282EB7" w:rsidRPr="00E4701E">
        <w:rPr>
          <w:rFonts w:ascii="Georgia" w:hAnsi="Georgia"/>
          <w:i/>
          <w:sz w:val="20"/>
          <w:szCs w:val="20"/>
          <w:lang w:val="en-GB"/>
        </w:rPr>
        <w:t>solely</w:t>
      </w:r>
      <w:r w:rsidRPr="00E4701E">
        <w:rPr>
          <w:rFonts w:ascii="Georgia" w:hAnsi="Georgia"/>
          <w:i/>
          <w:sz w:val="20"/>
          <w:szCs w:val="20"/>
          <w:lang w:val="en-GB"/>
        </w:rPr>
        <w:t xml:space="preserve"> towards development (poverty reduction, education, health, etc.)</w:t>
      </w:r>
      <w:r w:rsidRPr="008431F3">
        <w:rPr>
          <w:rFonts w:ascii="Georgia" w:hAnsi="Georgia"/>
          <w:sz w:val="20"/>
          <w:szCs w:val="20"/>
          <w:lang w:val="en-GB"/>
        </w:rPr>
        <w:t>, with the merging of the ED</w:t>
      </w:r>
      <w:r w:rsidR="00E4701E">
        <w:rPr>
          <w:rFonts w:ascii="Georgia" w:hAnsi="Georgia"/>
          <w:sz w:val="20"/>
          <w:szCs w:val="20"/>
          <w:lang w:val="en-GB"/>
        </w:rPr>
        <w:t>F</w:t>
      </w:r>
      <w:r w:rsidRPr="008431F3">
        <w:rPr>
          <w:rFonts w:ascii="Georgia" w:hAnsi="Georgia"/>
          <w:sz w:val="20"/>
          <w:szCs w:val="20"/>
          <w:lang w:val="en-GB"/>
        </w:rPr>
        <w:t xml:space="preserve"> and DCI if appropriate</w:t>
      </w:r>
      <w:r w:rsidR="00BB2431" w:rsidRPr="008431F3">
        <w:rPr>
          <w:rFonts w:ascii="Georgia" w:hAnsi="Georgia"/>
          <w:sz w:val="20"/>
          <w:szCs w:val="20"/>
          <w:lang w:val="en-GB"/>
        </w:rPr>
        <w:t>;</w:t>
      </w:r>
    </w:p>
    <w:p w:rsidR="00BB2431" w:rsidRPr="008431F3" w:rsidRDefault="00CB41AB" w:rsidP="00BB2431">
      <w:pPr>
        <w:numPr>
          <w:ilvl w:val="0"/>
          <w:numId w:val="1"/>
        </w:numPr>
        <w:spacing w:before="100" w:beforeAutospacing="1" w:after="100" w:afterAutospacing="1"/>
        <w:rPr>
          <w:rFonts w:ascii="Georgia" w:hAnsi="Georgia"/>
          <w:sz w:val="20"/>
          <w:szCs w:val="20"/>
          <w:lang w:val="en-GB"/>
        </w:rPr>
      </w:pPr>
      <w:r w:rsidRPr="008431F3">
        <w:rPr>
          <w:rFonts w:ascii="Georgia" w:hAnsi="Georgia"/>
          <w:sz w:val="20"/>
          <w:szCs w:val="20"/>
          <w:lang w:val="en-GB"/>
        </w:rPr>
        <w:t>a</w:t>
      </w:r>
      <w:r w:rsidR="00E67B6D" w:rsidRPr="008431F3">
        <w:rPr>
          <w:rFonts w:ascii="Georgia" w:hAnsi="Georgia"/>
          <w:sz w:val="20"/>
          <w:szCs w:val="20"/>
          <w:lang w:val="en-GB"/>
        </w:rPr>
        <w:t xml:space="preserve">chieve 100% alignment of the </w:t>
      </w:r>
      <w:r w:rsidR="00E4701E">
        <w:rPr>
          <w:rFonts w:ascii="Georgia" w:hAnsi="Georgia"/>
          <w:sz w:val="20"/>
          <w:szCs w:val="20"/>
          <w:lang w:val="en-GB"/>
        </w:rPr>
        <w:t>development i</w:t>
      </w:r>
      <w:r w:rsidR="00E67B6D" w:rsidRPr="008431F3">
        <w:rPr>
          <w:rFonts w:ascii="Georgia" w:hAnsi="Georgia"/>
          <w:sz w:val="20"/>
          <w:szCs w:val="20"/>
          <w:lang w:val="en-GB"/>
        </w:rPr>
        <w:t xml:space="preserve">nstrument with the OECD’s ODA </w:t>
      </w:r>
      <w:r w:rsidR="000D5A3C" w:rsidRPr="008431F3">
        <w:rPr>
          <w:rFonts w:ascii="Georgia" w:hAnsi="Georgia"/>
          <w:sz w:val="20"/>
          <w:szCs w:val="20"/>
          <w:lang w:val="en-GB"/>
        </w:rPr>
        <w:t>spending criteria</w:t>
      </w:r>
      <w:r w:rsidR="00E4701E">
        <w:rPr>
          <w:rFonts w:ascii="Georgia" w:hAnsi="Georgia"/>
          <w:sz w:val="20"/>
          <w:szCs w:val="20"/>
          <w:lang w:val="en-GB"/>
        </w:rPr>
        <w:t xml:space="preserve"> and </w:t>
      </w:r>
      <w:r w:rsidR="00662CF9">
        <w:rPr>
          <w:rFonts w:ascii="Georgia" w:hAnsi="Georgia"/>
          <w:sz w:val="20"/>
          <w:szCs w:val="20"/>
          <w:lang w:val="en-GB"/>
        </w:rPr>
        <w:t>ensure</w:t>
      </w:r>
      <w:r w:rsidR="00E4701E">
        <w:rPr>
          <w:rFonts w:ascii="Georgia" w:hAnsi="Georgia"/>
          <w:sz w:val="20"/>
          <w:szCs w:val="20"/>
          <w:lang w:val="en-GB"/>
        </w:rPr>
        <w:t xml:space="preserve"> compliance with</w:t>
      </w:r>
      <w:r w:rsidR="000D5A3C" w:rsidRPr="008431F3">
        <w:rPr>
          <w:rFonts w:ascii="Georgia" w:hAnsi="Georgia"/>
          <w:sz w:val="20"/>
          <w:szCs w:val="20"/>
          <w:lang w:val="en-GB"/>
        </w:rPr>
        <w:t xml:space="preserve"> internation</w:t>
      </w:r>
      <w:r w:rsidR="00305E13">
        <w:rPr>
          <w:rFonts w:ascii="Georgia" w:hAnsi="Georgia"/>
          <w:sz w:val="20"/>
          <w:szCs w:val="20"/>
          <w:lang w:val="en-GB"/>
        </w:rPr>
        <w:t>al aid effectiveness principles; t</w:t>
      </w:r>
      <w:r w:rsidR="000D5A3C" w:rsidRPr="008431F3">
        <w:rPr>
          <w:rFonts w:ascii="Georgia" w:hAnsi="Georgia"/>
          <w:sz w:val="20"/>
          <w:szCs w:val="20"/>
          <w:lang w:val="en-GB"/>
        </w:rPr>
        <w:t xml:space="preserve">he instrument should prioritise the LDCs and </w:t>
      </w:r>
      <w:r w:rsidR="00662CF9">
        <w:rPr>
          <w:rFonts w:ascii="Georgia" w:hAnsi="Georgia"/>
          <w:sz w:val="20"/>
          <w:szCs w:val="20"/>
          <w:lang w:val="en-GB"/>
        </w:rPr>
        <w:t>safeguard</w:t>
      </w:r>
      <w:r w:rsidR="000D5A3C" w:rsidRPr="008431F3">
        <w:rPr>
          <w:rFonts w:ascii="Georgia" w:hAnsi="Georgia"/>
          <w:sz w:val="20"/>
          <w:szCs w:val="20"/>
          <w:lang w:val="en-GB"/>
        </w:rPr>
        <w:t xml:space="preserve"> </w:t>
      </w:r>
      <w:r w:rsidR="00E4701E">
        <w:rPr>
          <w:rFonts w:ascii="Georgia" w:hAnsi="Georgia"/>
          <w:sz w:val="20"/>
          <w:szCs w:val="20"/>
          <w:lang w:val="en-GB"/>
        </w:rPr>
        <w:t>geographical</w:t>
      </w:r>
      <w:r w:rsidR="000D5A3C" w:rsidRPr="008431F3">
        <w:rPr>
          <w:rFonts w:ascii="Georgia" w:hAnsi="Georgia"/>
          <w:sz w:val="20"/>
          <w:szCs w:val="20"/>
          <w:lang w:val="en-GB"/>
        </w:rPr>
        <w:t xml:space="preserve"> balance</w:t>
      </w:r>
      <w:r w:rsidR="00BB2431" w:rsidRPr="008431F3">
        <w:rPr>
          <w:rFonts w:ascii="Georgia" w:hAnsi="Georgia"/>
          <w:sz w:val="20"/>
          <w:szCs w:val="20"/>
          <w:lang w:val="en-GB"/>
        </w:rPr>
        <w:t>;</w:t>
      </w:r>
    </w:p>
    <w:p w:rsidR="00BB2431" w:rsidRPr="008431F3" w:rsidRDefault="000D5A3C" w:rsidP="00BB2431">
      <w:pPr>
        <w:numPr>
          <w:ilvl w:val="0"/>
          <w:numId w:val="1"/>
        </w:numPr>
        <w:spacing w:before="100" w:beforeAutospacing="1" w:after="100" w:afterAutospacing="1"/>
        <w:rPr>
          <w:rFonts w:ascii="Georgia" w:hAnsi="Georgia"/>
          <w:sz w:val="20"/>
          <w:szCs w:val="20"/>
          <w:lang w:val="en-GB"/>
        </w:rPr>
      </w:pPr>
      <w:r w:rsidRPr="008431F3">
        <w:rPr>
          <w:rFonts w:ascii="Georgia" w:hAnsi="Georgia"/>
          <w:sz w:val="20"/>
          <w:szCs w:val="20"/>
          <w:lang w:val="en-GB"/>
        </w:rPr>
        <w:t>establish scrutiny mechanisms to ensure that development spending is ODA-compliant in all cases and genuinely benefits those in need</w:t>
      </w:r>
      <w:r w:rsidR="00BB2431" w:rsidRPr="008431F3">
        <w:rPr>
          <w:rFonts w:ascii="Georgia" w:hAnsi="Georgia"/>
          <w:sz w:val="20"/>
          <w:szCs w:val="20"/>
          <w:lang w:val="en-GB"/>
        </w:rPr>
        <w:t>.</w:t>
      </w:r>
    </w:p>
    <w:p w:rsidR="00EA5303" w:rsidRPr="008431F3" w:rsidRDefault="00EA5303" w:rsidP="00D33634">
      <w:pPr>
        <w:rPr>
          <w:rFonts w:ascii="Georgia" w:hAnsi="Georgia"/>
          <w:sz w:val="20"/>
          <w:szCs w:val="20"/>
          <w:lang w:val="en-GB"/>
        </w:rPr>
      </w:pPr>
    </w:p>
    <w:p w:rsidR="00D33634" w:rsidRPr="008431F3" w:rsidRDefault="00CB41AB" w:rsidP="00D33634">
      <w:pPr>
        <w:rPr>
          <w:rFonts w:ascii="Georgia" w:hAnsi="Georgia"/>
          <w:sz w:val="20"/>
          <w:szCs w:val="20"/>
          <w:lang w:val="en-GB"/>
        </w:rPr>
      </w:pPr>
      <w:r w:rsidRPr="008431F3">
        <w:rPr>
          <w:rFonts w:ascii="Georgia" w:hAnsi="Georgia"/>
          <w:sz w:val="20"/>
          <w:szCs w:val="20"/>
          <w:lang w:val="en-GB"/>
        </w:rPr>
        <w:t>Further information and assessments of EU policy are available here:</w:t>
      </w:r>
      <w:r w:rsidR="002C3745" w:rsidRPr="008431F3">
        <w:rPr>
          <w:rFonts w:ascii="Georgia" w:hAnsi="Georgia"/>
          <w:sz w:val="20"/>
          <w:szCs w:val="20"/>
          <w:lang w:val="en-GB"/>
        </w:rPr>
        <w:t xml:space="preserve"> </w:t>
      </w:r>
      <w:hyperlink r:id="rId17" w:history="1">
        <w:r w:rsidR="008B2CE6" w:rsidRPr="008431F3">
          <w:rPr>
            <w:rStyle w:val="Hyperlink"/>
            <w:rFonts w:ascii="Georgia" w:hAnsi="Georgia"/>
            <w:sz w:val="20"/>
            <w:szCs w:val="20"/>
            <w:lang w:val="en-GB"/>
          </w:rPr>
          <w:t>https://info.brot-fuer-die-welt.de/blog/dr-martina-fischer</w:t>
        </w:r>
      </w:hyperlink>
    </w:p>
    <w:p w:rsidR="008B2CE6" w:rsidRPr="008431F3" w:rsidRDefault="008B2CE6" w:rsidP="00D33634">
      <w:pPr>
        <w:rPr>
          <w:rFonts w:ascii="Georgia" w:hAnsi="Georgia"/>
          <w:sz w:val="20"/>
          <w:szCs w:val="20"/>
          <w:lang w:val="en-GB"/>
        </w:rPr>
      </w:pPr>
    </w:p>
    <w:p w:rsidR="00FB7508" w:rsidRPr="008431F3" w:rsidRDefault="00FB7508" w:rsidP="00FB7508">
      <w:pPr>
        <w:rPr>
          <w:rFonts w:ascii="Georgia" w:hAnsi="Georgia"/>
          <w:sz w:val="20"/>
          <w:szCs w:val="20"/>
          <w:lang w:val="en-GB"/>
        </w:rPr>
      </w:pPr>
    </w:p>
    <w:sectPr w:rsidR="00FB7508" w:rsidRPr="008431F3" w:rsidSect="003B4E12">
      <w:headerReference w:type="default" r:id="rId18"/>
      <w:footerReference w:type="even" r:id="rId19"/>
      <w:footerReference w:type="default" r:id="rId20"/>
      <w:headerReference w:type="first" r:id="rId21"/>
      <w:footerReference w:type="first" r:id="rId22"/>
      <w:type w:val="continuous"/>
      <w:pgSz w:w="11906" w:h="16838" w:code="9"/>
      <w:pgMar w:top="1304" w:right="3402" w:bottom="624" w:left="1247" w:header="709" w:footer="62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7CF" w:rsidRDefault="000707CF">
      <w:r>
        <w:separator/>
      </w:r>
    </w:p>
  </w:endnote>
  <w:endnote w:type="continuationSeparator" w:id="0">
    <w:p w:rsidR="000707CF" w:rsidRDefault="0007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CAF" w:rsidRDefault="00396CAF" w:rsidP="00EB5E2C">
    <w:pPr>
      <w:pStyle w:val="Kopfzeile"/>
      <w:spacing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CAF" w:rsidRDefault="00396CAF" w:rsidP="00EB5E2C">
    <w:pPr>
      <w:pStyle w:val="Kopfzeile"/>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CAF" w:rsidRPr="00AE5042" w:rsidRDefault="00396CAF" w:rsidP="00EB5E2C">
    <w:pPr>
      <w:pStyle w:val="Kopfzeile"/>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7CF" w:rsidRDefault="000707CF">
      <w:r>
        <w:separator/>
      </w:r>
    </w:p>
  </w:footnote>
  <w:footnote w:type="continuationSeparator" w:id="0">
    <w:p w:rsidR="000707CF" w:rsidRDefault="00070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CAF" w:rsidRDefault="00396CA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CAF" w:rsidRPr="00AF4A04" w:rsidRDefault="00396CAF">
    <w:pPr>
      <w:pStyle w:val="Kopfzeile"/>
      <w:rPr>
        <w:rFonts w:ascii="Arial Narrow" w:hAnsi="Arial Narrow"/>
        <w:b/>
        <w:sz w:val="40"/>
      </w:rPr>
    </w:pPr>
    <w:r w:rsidRPr="00AF4A04">
      <w:rPr>
        <w:rFonts w:ascii="Arial Narrow" w:hAnsi="Arial Narrow"/>
        <w:b/>
        <w:sz w:val="40"/>
      </w:rPr>
      <w:t>Presse</w:t>
    </w:r>
    <w:r>
      <w:rPr>
        <w:rFonts w:ascii="Arial Narrow" w:hAnsi="Arial Narrow"/>
        <w:b/>
        <w:sz w:val="40"/>
      </w:rPr>
      <w:t>-Statement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6DD5"/>
    <w:multiLevelType w:val="multilevel"/>
    <w:tmpl w:val="8286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09"/>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16"/>
    <w:rsid w:val="00001AF1"/>
    <w:rsid w:val="00002138"/>
    <w:rsid w:val="00005095"/>
    <w:rsid w:val="00016E19"/>
    <w:rsid w:val="000209F8"/>
    <w:rsid w:val="00021951"/>
    <w:rsid w:val="00023C8D"/>
    <w:rsid w:val="000245C8"/>
    <w:rsid w:val="00026FDA"/>
    <w:rsid w:val="00031B04"/>
    <w:rsid w:val="00032A13"/>
    <w:rsid w:val="00034027"/>
    <w:rsid w:val="00034E51"/>
    <w:rsid w:val="00037788"/>
    <w:rsid w:val="00037B19"/>
    <w:rsid w:val="00040F3C"/>
    <w:rsid w:val="000423F5"/>
    <w:rsid w:val="0004299D"/>
    <w:rsid w:val="00042F99"/>
    <w:rsid w:val="00043025"/>
    <w:rsid w:val="00053356"/>
    <w:rsid w:val="00053CA9"/>
    <w:rsid w:val="00056EFB"/>
    <w:rsid w:val="0005746D"/>
    <w:rsid w:val="00066E06"/>
    <w:rsid w:val="00067F27"/>
    <w:rsid w:val="000707CF"/>
    <w:rsid w:val="0007115E"/>
    <w:rsid w:val="0008319B"/>
    <w:rsid w:val="00091518"/>
    <w:rsid w:val="00091684"/>
    <w:rsid w:val="000922D1"/>
    <w:rsid w:val="000A5D36"/>
    <w:rsid w:val="000B07A3"/>
    <w:rsid w:val="000B0BC3"/>
    <w:rsid w:val="000B0C69"/>
    <w:rsid w:val="000B2582"/>
    <w:rsid w:val="000C1D0B"/>
    <w:rsid w:val="000C4E66"/>
    <w:rsid w:val="000C5824"/>
    <w:rsid w:val="000C582F"/>
    <w:rsid w:val="000D292D"/>
    <w:rsid w:val="000D5A3C"/>
    <w:rsid w:val="000D5C8F"/>
    <w:rsid w:val="000D6861"/>
    <w:rsid w:val="000E0C2F"/>
    <w:rsid w:val="000E313E"/>
    <w:rsid w:val="00104A61"/>
    <w:rsid w:val="00104FBC"/>
    <w:rsid w:val="0010632A"/>
    <w:rsid w:val="001064D3"/>
    <w:rsid w:val="00114461"/>
    <w:rsid w:val="00116091"/>
    <w:rsid w:val="001218E8"/>
    <w:rsid w:val="00122776"/>
    <w:rsid w:val="001310A9"/>
    <w:rsid w:val="00137FE4"/>
    <w:rsid w:val="00142E99"/>
    <w:rsid w:val="00146938"/>
    <w:rsid w:val="001518B7"/>
    <w:rsid w:val="00162183"/>
    <w:rsid w:val="001643B6"/>
    <w:rsid w:val="001658CF"/>
    <w:rsid w:val="001715DD"/>
    <w:rsid w:val="0017496D"/>
    <w:rsid w:val="00183FF2"/>
    <w:rsid w:val="00185A46"/>
    <w:rsid w:val="001A6221"/>
    <w:rsid w:val="001B16A6"/>
    <w:rsid w:val="001B2C31"/>
    <w:rsid w:val="001C5A91"/>
    <w:rsid w:val="001D0C2C"/>
    <w:rsid w:val="001D610C"/>
    <w:rsid w:val="001E0987"/>
    <w:rsid w:val="001E3402"/>
    <w:rsid w:val="001E4D79"/>
    <w:rsid w:val="001F4735"/>
    <w:rsid w:val="001F4DFF"/>
    <w:rsid w:val="001F7393"/>
    <w:rsid w:val="00200F4C"/>
    <w:rsid w:val="0020101A"/>
    <w:rsid w:val="00202D6F"/>
    <w:rsid w:val="00202E40"/>
    <w:rsid w:val="002135D3"/>
    <w:rsid w:val="002137B7"/>
    <w:rsid w:val="002166F9"/>
    <w:rsid w:val="00220E3E"/>
    <w:rsid w:val="002211E0"/>
    <w:rsid w:val="0022189F"/>
    <w:rsid w:val="00221CD4"/>
    <w:rsid w:val="00222195"/>
    <w:rsid w:val="00222897"/>
    <w:rsid w:val="00225EA5"/>
    <w:rsid w:val="002278D3"/>
    <w:rsid w:val="00233573"/>
    <w:rsid w:val="002363CB"/>
    <w:rsid w:val="00242593"/>
    <w:rsid w:val="00243B48"/>
    <w:rsid w:val="00243CC8"/>
    <w:rsid w:val="002479DB"/>
    <w:rsid w:val="00250BE9"/>
    <w:rsid w:val="00251C01"/>
    <w:rsid w:val="00255930"/>
    <w:rsid w:val="002666FF"/>
    <w:rsid w:val="00267343"/>
    <w:rsid w:val="00272400"/>
    <w:rsid w:val="00274786"/>
    <w:rsid w:val="002773DB"/>
    <w:rsid w:val="002806C3"/>
    <w:rsid w:val="002807AF"/>
    <w:rsid w:val="00282EB7"/>
    <w:rsid w:val="00296E7E"/>
    <w:rsid w:val="002A0182"/>
    <w:rsid w:val="002B10E8"/>
    <w:rsid w:val="002B48B4"/>
    <w:rsid w:val="002C313C"/>
    <w:rsid w:val="002C3745"/>
    <w:rsid w:val="002C4DAA"/>
    <w:rsid w:val="002C7012"/>
    <w:rsid w:val="002D056E"/>
    <w:rsid w:val="002D0C52"/>
    <w:rsid w:val="002D1BBD"/>
    <w:rsid w:val="002D27EE"/>
    <w:rsid w:val="002E194D"/>
    <w:rsid w:val="002E3B8D"/>
    <w:rsid w:val="002E568D"/>
    <w:rsid w:val="002F48F6"/>
    <w:rsid w:val="002F4E36"/>
    <w:rsid w:val="00300261"/>
    <w:rsid w:val="0030113E"/>
    <w:rsid w:val="00301E8A"/>
    <w:rsid w:val="00305E13"/>
    <w:rsid w:val="00307381"/>
    <w:rsid w:val="003118C9"/>
    <w:rsid w:val="003213E2"/>
    <w:rsid w:val="00323165"/>
    <w:rsid w:val="0033134A"/>
    <w:rsid w:val="00331E63"/>
    <w:rsid w:val="0033385C"/>
    <w:rsid w:val="003418ED"/>
    <w:rsid w:val="0034377F"/>
    <w:rsid w:val="00345E06"/>
    <w:rsid w:val="00352B82"/>
    <w:rsid w:val="00356344"/>
    <w:rsid w:val="003567B2"/>
    <w:rsid w:val="00356EF6"/>
    <w:rsid w:val="0036110C"/>
    <w:rsid w:val="003660F5"/>
    <w:rsid w:val="003677BD"/>
    <w:rsid w:val="00371FD0"/>
    <w:rsid w:val="003774AA"/>
    <w:rsid w:val="00382632"/>
    <w:rsid w:val="003906F1"/>
    <w:rsid w:val="00391349"/>
    <w:rsid w:val="0039488D"/>
    <w:rsid w:val="00396CAF"/>
    <w:rsid w:val="003A1EC2"/>
    <w:rsid w:val="003A3C53"/>
    <w:rsid w:val="003A78B9"/>
    <w:rsid w:val="003B0244"/>
    <w:rsid w:val="003B04D0"/>
    <w:rsid w:val="003B30F8"/>
    <w:rsid w:val="003B376D"/>
    <w:rsid w:val="003B4338"/>
    <w:rsid w:val="003B4E12"/>
    <w:rsid w:val="003C6CC8"/>
    <w:rsid w:val="003D0D8F"/>
    <w:rsid w:val="003D2E75"/>
    <w:rsid w:val="003E10BA"/>
    <w:rsid w:val="003E12EB"/>
    <w:rsid w:val="003E25F3"/>
    <w:rsid w:val="003E4E9A"/>
    <w:rsid w:val="003E7B76"/>
    <w:rsid w:val="003E7D16"/>
    <w:rsid w:val="003F10C8"/>
    <w:rsid w:val="003F168F"/>
    <w:rsid w:val="004009CB"/>
    <w:rsid w:val="004029DE"/>
    <w:rsid w:val="0040302F"/>
    <w:rsid w:val="00404193"/>
    <w:rsid w:val="00404A9B"/>
    <w:rsid w:val="0040706F"/>
    <w:rsid w:val="00424ED7"/>
    <w:rsid w:val="0042518A"/>
    <w:rsid w:val="00425AD1"/>
    <w:rsid w:val="004273DE"/>
    <w:rsid w:val="00427F31"/>
    <w:rsid w:val="00431B2A"/>
    <w:rsid w:val="0043380E"/>
    <w:rsid w:val="004339F6"/>
    <w:rsid w:val="004354C0"/>
    <w:rsid w:val="00442F63"/>
    <w:rsid w:val="00453954"/>
    <w:rsid w:val="0045603C"/>
    <w:rsid w:val="00461476"/>
    <w:rsid w:val="00461D9C"/>
    <w:rsid w:val="00463965"/>
    <w:rsid w:val="0046610B"/>
    <w:rsid w:val="00466281"/>
    <w:rsid w:val="00466685"/>
    <w:rsid w:val="00466843"/>
    <w:rsid w:val="0047488A"/>
    <w:rsid w:val="004749BC"/>
    <w:rsid w:val="00474C90"/>
    <w:rsid w:val="00476C69"/>
    <w:rsid w:val="00477AEA"/>
    <w:rsid w:val="00485875"/>
    <w:rsid w:val="00490139"/>
    <w:rsid w:val="00491C54"/>
    <w:rsid w:val="004A679A"/>
    <w:rsid w:val="004A7790"/>
    <w:rsid w:val="004B1461"/>
    <w:rsid w:val="004B2A1B"/>
    <w:rsid w:val="004B3E35"/>
    <w:rsid w:val="004B462E"/>
    <w:rsid w:val="004B4DEE"/>
    <w:rsid w:val="004C0264"/>
    <w:rsid w:val="004C4880"/>
    <w:rsid w:val="004C5851"/>
    <w:rsid w:val="004D2403"/>
    <w:rsid w:val="004D6673"/>
    <w:rsid w:val="004D6B49"/>
    <w:rsid w:val="004E0F91"/>
    <w:rsid w:val="004E39B0"/>
    <w:rsid w:val="004E5831"/>
    <w:rsid w:val="004E6247"/>
    <w:rsid w:val="004E6735"/>
    <w:rsid w:val="004F1E13"/>
    <w:rsid w:val="004F2C71"/>
    <w:rsid w:val="004F3678"/>
    <w:rsid w:val="004F4246"/>
    <w:rsid w:val="004F571F"/>
    <w:rsid w:val="004F75CE"/>
    <w:rsid w:val="00505F72"/>
    <w:rsid w:val="0051060E"/>
    <w:rsid w:val="00511333"/>
    <w:rsid w:val="005224DA"/>
    <w:rsid w:val="00534C5C"/>
    <w:rsid w:val="00543754"/>
    <w:rsid w:val="00547EDF"/>
    <w:rsid w:val="005509BD"/>
    <w:rsid w:val="0055118B"/>
    <w:rsid w:val="00552279"/>
    <w:rsid w:val="00553ADA"/>
    <w:rsid w:val="00561F3E"/>
    <w:rsid w:val="00561FAF"/>
    <w:rsid w:val="00563EF2"/>
    <w:rsid w:val="00565926"/>
    <w:rsid w:val="005729F7"/>
    <w:rsid w:val="00572A73"/>
    <w:rsid w:val="0057320C"/>
    <w:rsid w:val="005733A5"/>
    <w:rsid w:val="00577E55"/>
    <w:rsid w:val="00583EE3"/>
    <w:rsid w:val="00584D28"/>
    <w:rsid w:val="0058688B"/>
    <w:rsid w:val="00587E88"/>
    <w:rsid w:val="0059370A"/>
    <w:rsid w:val="005951EB"/>
    <w:rsid w:val="005A0D89"/>
    <w:rsid w:val="005A2BB0"/>
    <w:rsid w:val="005A44A5"/>
    <w:rsid w:val="005A6205"/>
    <w:rsid w:val="005B4159"/>
    <w:rsid w:val="005B577E"/>
    <w:rsid w:val="005B69F3"/>
    <w:rsid w:val="005C3890"/>
    <w:rsid w:val="005D27E4"/>
    <w:rsid w:val="005D55B4"/>
    <w:rsid w:val="005D6BE2"/>
    <w:rsid w:val="005F22ED"/>
    <w:rsid w:val="005F735B"/>
    <w:rsid w:val="00603006"/>
    <w:rsid w:val="006065CA"/>
    <w:rsid w:val="006126F8"/>
    <w:rsid w:val="006171E8"/>
    <w:rsid w:val="00625152"/>
    <w:rsid w:val="00627049"/>
    <w:rsid w:val="00635321"/>
    <w:rsid w:val="00636ECA"/>
    <w:rsid w:val="006370FE"/>
    <w:rsid w:val="0063797C"/>
    <w:rsid w:val="00644827"/>
    <w:rsid w:val="00645E57"/>
    <w:rsid w:val="0065272F"/>
    <w:rsid w:val="00653CFB"/>
    <w:rsid w:val="00662CF9"/>
    <w:rsid w:val="006635F9"/>
    <w:rsid w:val="00667FD1"/>
    <w:rsid w:val="00670735"/>
    <w:rsid w:val="006815F9"/>
    <w:rsid w:val="0068538B"/>
    <w:rsid w:val="00691877"/>
    <w:rsid w:val="00691CE1"/>
    <w:rsid w:val="006A168C"/>
    <w:rsid w:val="006A19AA"/>
    <w:rsid w:val="006B2312"/>
    <w:rsid w:val="006B53DE"/>
    <w:rsid w:val="006B724D"/>
    <w:rsid w:val="006C13C2"/>
    <w:rsid w:val="006C7FB4"/>
    <w:rsid w:val="006D5FD3"/>
    <w:rsid w:val="006E192E"/>
    <w:rsid w:val="006E27EA"/>
    <w:rsid w:val="006E3B03"/>
    <w:rsid w:val="006E6D62"/>
    <w:rsid w:val="006F2811"/>
    <w:rsid w:val="006F472F"/>
    <w:rsid w:val="006F5B42"/>
    <w:rsid w:val="00712150"/>
    <w:rsid w:val="007173F4"/>
    <w:rsid w:val="00721907"/>
    <w:rsid w:val="007231B4"/>
    <w:rsid w:val="00727234"/>
    <w:rsid w:val="007378EC"/>
    <w:rsid w:val="00740002"/>
    <w:rsid w:val="00740CD9"/>
    <w:rsid w:val="00742A50"/>
    <w:rsid w:val="007450E3"/>
    <w:rsid w:val="007457A0"/>
    <w:rsid w:val="00747035"/>
    <w:rsid w:val="00750865"/>
    <w:rsid w:val="007701E7"/>
    <w:rsid w:val="0077047C"/>
    <w:rsid w:val="00770FCD"/>
    <w:rsid w:val="00773732"/>
    <w:rsid w:val="00775AAB"/>
    <w:rsid w:val="00776E57"/>
    <w:rsid w:val="007831B4"/>
    <w:rsid w:val="007835CD"/>
    <w:rsid w:val="00792D3B"/>
    <w:rsid w:val="007A2185"/>
    <w:rsid w:val="007A503E"/>
    <w:rsid w:val="007A60A6"/>
    <w:rsid w:val="007B1B08"/>
    <w:rsid w:val="007B6AB1"/>
    <w:rsid w:val="007B7E59"/>
    <w:rsid w:val="007C0486"/>
    <w:rsid w:val="007D1400"/>
    <w:rsid w:val="007D47DF"/>
    <w:rsid w:val="007E475D"/>
    <w:rsid w:val="007F0E07"/>
    <w:rsid w:val="007F1A2B"/>
    <w:rsid w:val="007F5DE6"/>
    <w:rsid w:val="007F6195"/>
    <w:rsid w:val="007F70F0"/>
    <w:rsid w:val="008073A3"/>
    <w:rsid w:val="0081018B"/>
    <w:rsid w:val="00812EBC"/>
    <w:rsid w:val="00816DAD"/>
    <w:rsid w:val="0082087D"/>
    <w:rsid w:val="00824C8C"/>
    <w:rsid w:val="00826600"/>
    <w:rsid w:val="0083051F"/>
    <w:rsid w:val="00832B96"/>
    <w:rsid w:val="00840239"/>
    <w:rsid w:val="008404E2"/>
    <w:rsid w:val="008431F3"/>
    <w:rsid w:val="00844C4B"/>
    <w:rsid w:val="0084629D"/>
    <w:rsid w:val="00847DCC"/>
    <w:rsid w:val="00850806"/>
    <w:rsid w:val="00855FD7"/>
    <w:rsid w:val="00862C01"/>
    <w:rsid w:val="0086352D"/>
    <w:rsid w:val="00864597"/>
    <w:rsid w:val="00867832"/>
    <w:rsid w:val="008723B7"/>
    <w:rsid w:val="00873199"/>
    <w:rsid w:val="00873A83"/>
    <w:rsid w:val="0087499E"/>
    <w:rsid w:val="00880F2B"/>
    <w:rsid w:val="00881C08"/>
    <w:rsid w:val="00882CA8"/>
    <w:rsid w:val="00882E96"/>
    <w:rsid w:val="00890245"/>
    <w:rsid w:val="00893747"/>
    <w:rsid w:val="008B1BA4"/>
    <w:rsid w:val="008B2CE6"/>
    <w:rsid w:val="008B5450"/>
    <w:rsid w:val="008B6593"/>
    <w:rsid w:val="008C0627"/>
    <w:rsid w:val="008C61C6"/>
    <w:rsid w:val="008D1BBA"/>
    <w:rsid w:val="008D4B25"/>
    <w:rsid w:val="008D4D50"/>
    <w:rsid w:val="008D6C4E"/>
    <w:rsid w:val="008D7111"/>
    <w:rsid w:val="008E2185"/>
    <w:rsid w:val="008E2529"/>
    <w:rsid w:val="008F0C59"/>
    <w:rsid w:val="008F1492"/>
    <w:rsid w:val="008F64BB"/>
    <w:rsid w:val="00900610"/>
    <w:rsid w:val="00906C3E"/>
    <w:rsid w:val="00906E73"/>
    <w:rsid w:val="009115FA"/>
    <w:rsid w:val="009128A1"/>
    <w:rsid w:val="00913D11"/>
    <w:rsid w:val="0091699E"/>
    <w:rsid w:val="00917F6A"/>
    <w:rsid w:val="00922F6A"/>
    <w:rsid w:val="009234B4"/>
    <w:rsid w:val="00927D41"/>
    <w:rsid w:val="00930A6C"/>
    <w:rsid w:val="00933743"/>
    <w:rsid w:val="00934E4B"/>
    <w:rsid w:val="009359E3"/>
    <w:rsid w:val="00935B52"/>
    <w:rsid w:val="0094128E"/>
    <w:rsid w:val="00944771"/>
    <w:rsid w:val="009504C5"/>
    <w:rsid w:val="009528BA"/>
    <w:rsid w:val="009532FF"/>
    <w:rsid w:val="009552A5"/>
    <w:rsid w:val="009621B5"/>
    <w:rsid w:val="009627F9"/>
    <w:rsid w:val="0096512F"/>
    <w:rsid w:val="00966ABD"/>
    <w:rsid w:val="009716D0"/>
    <w:rsid w:val="00972462"/>
    <w:rsid w:val="00972735"/>
    <w:rsid w:val="00985450"/>
    <w:rsid w:val="00985801"/>
    <w:rsid w:val="0099095A"/>
    <w:rsid w:val="00991268"/>
    <w:rsid w:val="009920B7"/>
    <w:rsid w:val="00993533"/>
    <w:rsid w:val="00994855"/>
    <w:rsid w:val="00997573"/>
    <w:rsid w:val="009A018C"/>
    <w:rsid w:val="009B0726"/>
    <w:rsid w:val="009B27D5"/>
    <w:rsid w:val="009C0F08"/>
    <w:rsid w:val="009C5951"/>
    <w:rsid w:val="009C7B04"/>
    <w:rsid w:val="009D0121"/>
    <w:rsid w:val="009D1D80"/>
    <w:rsid w:val="009D228B"/>
    <w:rsid w:val="009D4E5D"/>
    <w:rsid w:val="009D6890"/>
    <w:rsid w:val="009D7737"/>
    <w:rsid w:val="009E26CE"/>
    <w:rsid w:val="009E73C2"/>
    <w:rsid w:val="009E7BEE"/>
    <w:rsid w:val="009F6AFC"/>
    <w:rsid w:val="00A02ED9"/>
    <w:rsid w:val="00A0790F"/>
    <w:rsid w:val="00A10524"/>
    <w:rsid w:val="00A10E0D"/>
    <w:rsid w:val="00A112CE"/>
    <w:rsid w:val="00A2181B"/>
    <w:rsid w:val="00A21C98"/>
    <w:rsid w:val="00A22E7B"/>
    <w:rsid w:val="00A25426"/>
    <w:rsid w:val="00A27888"/>
    <w:rsid w:val="00A32BDF"/>
    <w:rsid w:val="00A34452"/>
    <w:rsid w:val="00A34F51"/>
    <w:rsid w:val="00A35BB5"/>
    <w:rsid w:val="00A40167"/>
    <w:rsid w:val="00A41207"/>
    <w:rsid w:val="00A43184"/>
    <w:rsid w:val="00A46691"/>
    <w:rsid w:val="00A527BC"/>
    <w:rsid w:val="00A56CC4"/>
    <w:rsid w:val="00A57233"/>
    <w:rsid w:val="00A60DD1"/>
    <w:rsid w:val="00A61B56"/>
    <w:rsid w:val="00A61FC9"/>
    <w:rsid w:val="00A70EC9"/>
    <w:rsid w:val="00A724CB"/>
    <w:rsid w:val="00A774CE"/>
    <w:rsid w:val="00A77F57"/>
    <w:rsid w:val="00A8118B"/>
    <w:rsid w:val="00A87FDF"/>
    <w:rsid w:val="00A93BB0"/>
    <w:rsid w:val="00AA39C5"/>
    <w:rsid w:val="00AA5A04"/>
    <w:rsid w:val="00AC0AFF"/>
    <w:rsid w:val="00AC1E5D"/>
    <w:rsid w:val="00AC3587"/>
    <w:rsid w:val="00AD0126"/>
    <w:rsid w:val="00AD13BE"/>
    <w:rsid w:val="00AD6276"/>
    <w:rsid w:val="00AE0960"/>
    <w:rsid w:val="00AE4E38"/>
    <w:rsid w:val="00AF3E46"/>
    <w:rsid w:val="00AF4A04"/>
    <w:rsid w:val="00AF7562"/>
    <w:rsid w:val="00B15375"/>
    <w:rsid w:val="00B168B7"/>
    <w:rsid w:val="00B176B8"/>
    <w:rsid w:val="00B20285"/>
    <w:rsid w:val="00B25424"/>
    <w:rsid w:val="00B30BF9"/>
    <w:rsid w:val="00B35039"/>
    <w:rsid w:val="00B4451C"/>
    <w:rsid w:val="00B447D8"/>
    <w:rsid w:val="00B45DEE"/>
    <w:rsid w:val="00B47A95"/>
    <w:rsid w:val="00B52398"/>
    <w:rsid w:val="00B56CDA"/>
    <w:rsid w:val="00B602B9"/>
    <w:rsid w:val="00B603B7"/>
    <w:rsid w:val="00B635C8"/>
    <w:rsid w:val="00B75F29"/>
    <w:rsid w:val="00B77C58"/>
    <w:rsid w:val="00B903BE"/>
    <w:rsid w:val="00B9121A"/>
    <w:rsid w:val="00B97400"/>
    <w:rsid w:val="00BA18A6"/>
    <w:rsid w:val="00BA2D37"/>
    <w:rsid w:val="00BA2EC9"/>
    <w:rsid w:val="00BA5F50"/>
    <w:rsid w:val="00BA64F0"/>
    <w:rsid w:val="00BA731D"/>
    <w:rsid w:val="00BB2431"/>
    <w:rsid w:val="00BC1058"/>
    <w:rsid w:val="00BC12C0"/>
    <w:rsid w:val="00BC275F"/>
    <w:rsid w:val="00BC55DC"/>
    <w:rsid w:val="00BD01F9"/>
    <w:rsid w:val="00BD34D4"/>
    <w:rsid w:val="00BD3DFF"/>
    <w:rsid w:val="00BD4D2D"/>
    <w:rsid w:val="00BD520C"/>
    <w:rsid w:val="00BD6257"/>
    <w:rsid w:val="00BE0B4C"/>
    <w:rsid w:val="00BE3230"/>
    <w:rsid w:val="00BE44B5"/>
    <w:rsid w:val="00BE4A1A"/>
    <w:rsid w:val="00BE5389"/>
    <w:rsid w:val="00BF0149"/>
    <w:rsid w:val="00BF0175"/>
    <w:rsid w:val="00C02297"/>
    <w:rsid w:val="00C03CF5"/>
    <w:rsid w:val="00C043FA"/>
    <w:rsid w:val="00C052DD"/>
    <w:rsid w:val="00C0593F"/>
    <w:rsid w:val="00C05A51"/>
    <w:rsid w:val="00C15A99"/>
    <w:rsid w:val="00C204EC"/>
    <w:rsid w:val="00C23642"/>
    <w:rsid w:val="00C26F03"/>
    <w:rsid w:val="00C33A77"/>
    <w:rsid w:val="00C3469E"/>
    <w:rsid w:val="00C3725E"/>
    <w:rsid w:val="00C37517"/>
    <w:rsid w:val="00C3767F"/>
    <w:rsid w:val="00C43B32"/>
    <w:rsid w:val="00C46AA9"/>
    <w:rsid w:val="00C57AE1"/>
    <w:rsid w:val="00C62B5C"/>
    <w:rsid w:val="00C647B3"/>
    <w:rsid w:val="00C654FE"/>
    <w:rsid w:val="00C67643"/>
    <w:rsid w:val="00C71EA3"/>
    <w:rsid w:val="00C72371"/>
    <w:rsid w:val="00C73405"/>
    <w:rsid w:val="00C77A1E"/>
    <w:rsid w:val="00C867CF"/>
    <w:rsid w:val="00C97EBF"/>
    <w:rsid w:val="00CA459B"/>
    <w:rsid w:val="00CA582E"/>
    <w:rsid w:val="00CB0903"/>
    <w:rsid w:val="00CB2489"/>
    <w:rsid w:val="00CB3BE7"/>
    <w:rsid w:val="00CB41AB"/>
    <w:rsid w:val="00CB5D0D"/>
    <w:rsid w:val="00CC0680"/>
    <w:rsid w:val="00CC1B6B"/>
    <w:rsid w:val="00CC1F9A"/>
    <w:rsid w:val="00CC22C9"/>
    <w:rsid w:val="00CC3AB3"/>
    <w:rsid w:val="00CC7A19"/>
    <w:rsid w:val="00CE1209"/>
    <w:rsid w:val="00CE1523"/>
    <w:rsid w:val="00CE1BF3"/>
    <w:rsid w:val="00CE355E"/>
    <w:rsid w:val="00CF4826"/>
    <w:rsid w:val="00CF6A1D"/>
    <w:rsid w:val="00D02D93"/>
    <w:rsid w:val="00D03517"/>
    <w:rsid w:val="00D04A34"/>
    <w:rsid w:val="00D057A4"/>
    <w:rsid w:val="00D07B05"/>
    <w:rsid w:val="00D10300"/>
    <w:rsid w:val="00D24C2C"/>
    <w:rsid w:val="00D25654"/>
    <w:rsid w:val="00D274D2"/>
    <w:rsid w:val="00D323AF"/>
    <w:rsid w:val="00D33634"/>
    <w:rsid w:val="00D42032"/>
    <w:rsid w:val="00D46F39"/>
    <w:rsid w:val="00D50FA5"/>
    <w:rsid w:val="00D55B9D"/>
    <w:rsid w:val="00D56548"/>
    <w:rsid w:val="00D565B7"/>
    <w:rsid w:val="00D63463"/>
    <w:rsid w:val="00D82338"/>
    <w:rsid w:val="00D83B12"/>
    <w:rsid w:val="00D84A5D"/>
    <w:rsid w:val="00D90544"/>
    <w:rsid w:val="00D92C36"/>
    <w:rsid w:val="00DA00F5"/>
    <w:rsid w:val="00DA1096"/>
    <w:rsid w:val="00DA12C4"/>
    <w:rsid w:val="00DA2300"/>
    <w:rsid w:val="00DA26C1"/>
    <w:rsid w:val="00DA5561"/>
    <w:rsid w:val="00DA57D6"/>
    <w:rsid w:val="00DB0163"/>
    <w:rsid w:val="00DB1FCC"/>
    <w:rsid w:val="00DB57A9"/>
    <w:rsid w:val="00DB7699"/>
    <w:rsid w:val="00DC015D"/>
    <w:rsid w:val="00DC0895"/>
    <w:rsid w:val="00DC2DEA"/>
    <w:rsid w:val="00DC5B91"/>
    <w:rsid w:val="00DD252B"/>
    <w:rsid w:val="00DD4C8C"/>
    <w:rsid w:val="00DE4C30"/>
    <w:rsid w:val="00DF1714"/>
    <w:rsid w:val="00DF1CA1"/>
    <w:rsid w:val="00DF35F3"/>
    <w:rsid w:val="00DF782E"/>
    <w:rsid w:val="00E05496"/>
    <w:rsid w:val="00E054CB"/>
    <w:rsid w:val="00E06872"/>
    <w:rsid w:val="00E07292"/>
    <w:rsid w:val="00E12117"/>
    <w:rsid w:val="00E13360"/>
    <w:rsid w:val="00E150DE"/>
    <w:rsid w:val="00E16F5D"/>
    <w:rsid w:val="00E21140"/>
    <w:rsid w:val="00E216C5"/>
    <w:rsid w:val="00E22503"/>
    <w:rsid w:val="00E23C16"/>
    <w:rsid w:val="00E2477E"/>
    <w:rsid w:val="00E26BC1"/>
    <w:rsid w:val="00E27F83"/>
    <w:rsid w:val="00E30DAE"/>
    <w:rsid w:val="00E37DDD"/>
    <w:rsid w:val="00E42884"/>
    <w:rsid w:val="00E4318D"/>
    <w:rsid w:val="00E4701E"/>
    <w:rsid w:val="00E47F00"/>
    <w:rsid w:val="00E50879"/>
    <w:rsid w:val="00E5111A"/>
    <w:rsid w:val="00E54233"/>
    <w:rsid w:val="00E554F7"/>
    <w:rsid w:val="00E60064"/>
    <w:rsid w:val="00E64DC5"/>
    <w:rsid w:val="00E67B6D"/>
    <w:rsid w:val="00E73563"/>
    <w:rsid w:val="00E76D7D"/>
    <w:rsid w:val="00E81A08"/>
    <w:rsid w:val="00E820E7"/>
    <w:rsid w:val="00E82F0C"/>
    <w:rsid w:val="00E847D9"/>
    <w:rsid w:val="00E87D2A"/>
    <w:rsid w:val="00E87D61"/>
    <w:rsid w:val="00E920C1"/>
    <w:rsid w:val="00E9308B"/>
    <w:rsid w:val="00EA3A21"/>
    <w:rsid w:val="00EA5303"/>
    <w:rsid w:val="00EB1A6C"/>
    <w:rsid w:val="00EB5E2C"/>
    <w:rsid w:val="00EB7F40"/>
    <w:rsid w:val="00EC07BA"/>
    <w:rsid w:val="00EC29EB"/>
    <w:rsid w:val="00EC3436"/>
    <w:rsid w:val="00ED54CE"/>
    <w:rsid w:val="00EF2D5F"/>
    <w:rsid w:val="00EF3CC1"/>
    <w:rsid w:val="00EF3FDE"/>
    <w:rsid w:val="00EF799F"/>
    <w:rsid w:val="00F050EA"/>
    <w:rsid w:val="00F10BBF"/>
    <w:rsid w:val="00F16594"/>
    <w:rsid w:val="00F20000"/>
    <w:rsid w:val="00F21008"/>
    <w:rsid w:val="00F233B6"/>
    <w:rsid w:val="00F301E4"/>
    <w:rsid w:val="00F31E49"/>
    <w:rsid w:val="00F332BC"/>
    <w:rsid w:val="00F336CE"/>
    <w:rsid w:val="00F33D32"/>
    <w:rsid w:val="00F40145"/>
    <w:rsid w:val="00F44110"/>
    <w:rsid w:val="00F54587"/>
    <w:rsid w:val="00F54C54"/>
    <w:rsid w:val="00F567A3"/>
    <w:rsid w:val="00F57097"/>
    <w:rsid w:val="00F6347F"/>
    <w:rsid w:val="00F82FF6"/>
    <w:rsid w:val="00F866F0"/>
    <w:rsid w:val="00FA05CA"/>
    <w:rsid w:val="00FA6403"/>
    <w:rsid w:val="00FB085D"/>
    <w:rsid w:val="00FB1AB3"/>
    <w:rsid w:val="00FB2893"/>
    <w:rsid w:val="00FB58F2"/>
    <w:rsid w:val="00FB6FD0"/>
    <w:rsid w:val="00FB7508"/>
    <w:rsid w:val="00FB7833"/>
    <w:rsid w:val="00FC24FB"/>
    <w:rsid w:val="00FC7416"/>
    <w:rsid w:val="00FC7CE9"/>
    <w:rsid w:val="00FD1D28"/>
    <w:rsid w:val="00FD20C5"/>
    <w:rsid w:val="00FD29DF"/>
    <w:rsid w:val="00FD3D3D"/>
    <w:rsid w:val="00FD66EE"/>
    <w:rsid w:val="00FE33E6"/>
    <w:rsid w:val="00FE53C5"/>
    <w:rsid w:val="00FE5C56"/>
    <w:rsid w:val="00FF2642"/>
    <w:rsid w:val="00FF328F"/>
    <w:rsid w:val="00FF3EB2"/>
    <w:rsid w:val="00FF49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300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0-Schlagzeile">
    <w:name w:val="10 - Schlagzeile"/>
    <w:rsid w:val="009128A1"/>
    <w:pPr>
      <w:shd w:val="clear" w:color="auto" w:fill="FFFFFF"/>
      <w:spacing w:line="240" w:lineRule="exact"/>
    </w:pPr>
    <w:rPr>
      <w:rFonts w:ascii="Arial" w:hAnsi="Arial" w:cs="Arial"/>
      <w:color w:val="000000"/>
      <w:spacing w:val="1"/>
      <w:szCs w:val="16"/>
    </w:rPr>
  </w:style>
  <w:style w:type="paragraph" w:customStyle="1" w:styleId="11-Ref">
    <w:name w:val="11 - Ref"/>
    <w:basedOn w:val="10-Schlagzeile"/>
    <w:rsid w:val="009128A1"/>
    <w:pPr>
      <w:shd w:val="clear" w:color="auto" w:fill="E6E6E6"/>
    </w:pPr>
    <w:rPr>
      <w:b/>
      <w:bCs/>
      <w:spacing w:val="-8"/>
      <w:sz w:val="28"/>
      <w:szCs w:val="28"/>
    </w:rPr>
  </w:style>
  <w:style w:type="paragraph" w:customStyle="1" w:styleId="12-RefTxt">
    <w:name w:val="12 - RefTxt"/>
    <w:basedOn w:val="11-Ref"/>
    <w:rsid w:val="009128A1"/>
    <w:rPr>
      <w:color w:val="auto"/>
      <w:sz w:val="24"/>
    </w:rPr>
  </w:style>
  <w:style w:type="paragraph" w:customStyle="1" w:styleId="FormatvorlageNurTextArial8pt">
    <w:name w:val="Formatvorlage Nur Text + Arial 8 pt"/>
    <w:basedOn w:val="NurText"/>
    <w:rsid w:val="00FC7CE9"/>
    <w:pPr>
      <w:spacing w:line="200" w:lineRule="exact"/>
    </w:pPr>
    <w:rPr>
      <w:rFonts w:ascii="Arial" w:hAnsi="Arial"/>
      <w:sz w:val="16"/>
    </w:rPr>
  </w:style>
  <w:style w:type="paragraph" w:styleId="NurText">
    <w:name w:val="Plain Text"/>
    <w:basedOn w:val="Standard"/>
    <w:rsid w:val="00FC7CE9"/>
    <w:rPr>
      <w:rFonts w:ascii="Courier New" w:hAnsi="Courier New" w:cs="Courier New"/>
      <w:sz w:val="20"/>
      <w:szCs w:val="20"/>
    </w:rPr>
  </w:style>
  <w:style w:type="character" w:customStyle="1" w:styleId="RefTxt1">
    <w:name w:val="RefTxt1"/>
    <w:basedOn w:val="Absatz-Standardschriftart"/>
    <w:rsid w:val="009128A1"/>
    <w:rPr>
      <w:rFonts w:ascii="Arial" w:hAnsi="Arial" w:cs="Arial"/>
      <w:b/>
      <w:bCs/>
      <w:dstrike w:val="0"/>
      <w:color w:val="auto"/>
      <w:spacing w:val="-8"/>
      <w:sz w:val="24"/>
      <w:szCs w:val="28"/>
      <w:vertAlign w:val="baseline"/>
      <w:lang w:val="de-DE" w:eastAsia="de-DE" w:bidi="ar-SA"/>
    </w:rPr>
  </w:style>
  <w:style w:type="table" w:styleId="TabelleSpezial1">
    <w:name w:val="Table Subtle 1"/>
    <w:aliases w:val="20 - Tab jede 2. Zeile Raster"/>
    <w:basedOn w:val="NormaleTabelle"/>
    <w:rsid w:val="00A27888"/>
    <w:pPr>
      <w:widowControl w:val="0"/>
      <w:autoSpaceDE w:val="0"/>
      <w:autoSpaceDN w:val="0"/>
      <w:adjustRightInd w:val="0"/>
      <w:spacing w:before="40" w:after="40" w:line="160" w:lineRule="exact"/>
      <w:ind w:left="57" w:right="57"/>
    </w:pPr>
    <w:rPr>
      <w:rFonts w:ascii="Arial" w:hAnsi="Arial"/>
      <w:sz w:val="14"/>
    </w:rPr>
    <w:tblPr>
      <w:tblStyleRowBandSize w:val="1"/>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Pr>
    <w:tcPr>
      <w:shd w:val="clear" w:color="auto" w:fill="E6E6E6"/>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semiHidden/>
    <w:rsid w:val="00A27888"/>
    <w:pPr>
      <w:widowControl w:val="0"/>
      <w:autoSpaceDE w:val="0"/>
      <w:autoSpaceDN w:val="0"/>
      <w:adjustRightInd w:val="0"/>
    </w:pPr>
    <w:tblPr>
      <w:tblStyleRowBandSize w:val="1"/>
      <w:tblStyleColBandSize w:val="1"/>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Kursiv">
    <w:name w:val="Kursiv"/>
    <w:basedOn w:val="NurText"/>
    <w:rsid w:val="00CF4826"/>
    <w:rPr>
      <w:i/>
    </w:rPr>
  </w:style>
  <w:style w:type="paragraph" w:styleId="Kopfzeile">
    <w:name w:val="header"/>
    <w:basedOn w:val="Standard"/>
    <w:rsid w:val="0084629D"/>
    <w:pPr>
      <w:tabs>
        <w:tab w:val="center" w:pos="4536"/>
        <w:tab w:val="right" w:pos="9072"/>
      </w:tabs>
    </w:pPr>
  </w:style>
  <w:style w:type="paragraph" w:styleId="Fuzeile">
    <w:name w:val="footer"/>
    <w:basedOn w:val="Standard"/>
    <w:rsid w:val="0084629D"/>
    <w:pPr>
      <w:tabs>
        <w:tab w:val="center" w:pos="4536"/>
        <w:tab w:val="right" w:pos="9072"/>
      </w:tabs>
    </w:pPr>
  </w:style>
  <w:style w:type="table" w:styleId="Tabellenraster">
    <w:name w:val="Table Grid"/>
    <w:basedOn w:val="NormaleTabelle"/>
    <w:rsid w:val="00561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037788"/>
    <w:rPr>
      <w:rFonts w:ascii="Tahoma" w:hAnsi="Tahoma" w:cs="Tahoma"/>
      <w:sz w:val="16"/>
      <w:szCs w:val="16"/>
    </w:rPr>
  </w:style>
  <w:style w:type="character" w:customStyle="1" w:styleId="SprechblasentextZchn">
    <w:name w:val="Sprechblasentext Zchn"/>
    <w:basedOn w:val="Absatz-Standardschriftart"/>
    <w:link w:val="Sprechblasentext"/>
    <w:rsid w:val="00037788"/>
    <w:rPr>
      <w:rFonts w:ascii="Tahoma" w:hAnsi="Tahoma" w:cs="Tahoma"/>
      <w:sz w:val="16"/>
      <w:szCs w:val="16"/>
    </w:rPr>
  </w:style>
  <w:style w:type="character" w:styleId="Hyperlink">
    <w:name w:val="Hyperlink"/>
    <w:basedOn w:val="Absatz-Standardschriftart"/>
    <w:uiPriority w:val="99"/>
    <w:rsid w:val="003B04D0"/>
    <w:rPr>
      <w:color w:val="0000FF" w:themeColor="hyperlink"/>
      <w:u w:val="single"/>
    </w:rPr>
  </w:style>
  <w:style w:type="character" w:styleId="Kommentarzeichen">
    <w:name w:val="annotation reference"/>
    <w:basedOn w:val="Absatz-Standardschriftart"/>
    <w:rsid w:val="009E73C2"/>
    <w:rPr>
      <w:sz w:val="16"/>
      <w:szCs w:val="16"/>
    </w:rPr>
  </w:style>
  <w:style w:type="paragraph" w:styleId="Kommentartext">
    <w:name w:val="annotation text"/>
    <w:basedOn w:val="Standard"/>
    <w:link w:val="KommentartextZchn"/>
    <w:rsid w:val="009E73C2"/>
    <w:rPr>
      <w:sz w:val="20"/>
      <w:szCs w:val="20"/>
    </w:rPr>
  </w:style>
  <w:style w:type="character" w:customStyle="1" w:styleId="KommentartextZchn">
    <w:name w:val="Kommentartext Zchn"/>
    <w:basedOn w:val="Absatz-Standardschriftart"/>
    <w:link w:val="Kommentartext"/>
    <w:rsid w:val="009E73C2"/>
  </w:style>
  <w:style w:type="paragraph" w:styleId="Kommentarthema">
    <w:name w:val="annotation subject"/>
    <w:basedOn w:val="Kommentartext"/>
    <w:next w:val="Kommentartext"/>
    <w:link w:val="KommentarthemaZchn"/>
    <w:rsid w:val="009E73C2"/>
    <w:rPr>
      <w:b/>
      <w:bCs/>
    </w:rPr>
  </w:style>
  <w:style w:type="character" w:customStyle="1" w:styleId="KommentarthemaZchn">
    <w:name w:val="Kommentarthema Zchn"/>
    <w:basedOn w:val="KommentartextZchn"/>
    <w:link w:val="Kommentarthema"/>
    <w:rsid w:val="009E73C2"/>
    <w:rPr>
      <w:b/>
      <w:bCs/>
    </w:rPr>
  </w:style>
  <w:style w:type="character" w:styleId="BesuchterHyperlink">
    <w:name w:val="FollowedHyperlink"/>
    <w:basedOn w:val="Absatz-Standardschriftart"/>
    <w:semiHidden/>
    <w:unhideWhenUsed/>
    <w:rsid w:val="00CB41AB"/>
    <w:rPr>
      <w:color w:val="800080" w:themeColor="followedHyperlink"/>
      <w:u w:val="single"/>
    </w:rPr>
  </w:style>
  <w:style w:type="character" w:customStyle="1" w:styleId="UnresolvedMention">
    <w:name w:val="Unresolved Mention"/>
    <w:basedOn w:val="Absatz-Standardschriftart"/>
    <w:uiPriority w:val="99"/>
    <w:semiHidden/>
    <w:unhideWhenUsed/>
    <w:rsid w:val="00A02ED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300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0-Schlagzeile">
    <w:name w:val="10 - Schlagzeile"/>
    <w:rsid w:val="009128A1"/>
    <w:pPr>
      <w:shd w:val="clear" w:color="auto" w:fill="FFFFFF"/>
      <w:spacing w:line="240" w:lineRule="exact"/>
    </w:pPr>
    <w:rPr>
      <w:rFonts w:ascii="Arial" w:hAnsi="Arial" w:cs="Arial"/>
      <w:color w:val="000000"/>
      <w:spacing w:val="1"/>
      <w:szCs w:val="16"/>
    </w:rPr>
  </w:style>
  <w:style w:type="paragraph" w:customStyle="1" w:styleId="11-Ref">
    <w:name w:val="11 - Ref"/>
    <w:basedOn w:val="10-Schlagzeile"/>
    <w:rsid w:val="009128A1"/>
    <w:pPr>
      <w:shd w:val="clear" w:color="auto" w:fill="E6E6E6"/>
    </w:pPr>
    <w:rPr>
      <w:b/>
      <w:bCs/>
      <w:spacing w:val="-8"/>
      <w:sz w:val="28"/>
      <w:szCs w:val="28"/>
    </w:rPr>
  </w:style>
  <w:style w:type="paragraph" w:customStyle="1" w:styleId="12-RefTxt">
    <w:name w:val="12 - RefTxt"/>
    <w:basedOn w:val="11-Ref"/>
    <w:rsid w:val="009128A1"/>
    <w:rPr>
      <w:color w:val="auto"/>
      <w:sz w:val="24"/>
    </w:rPr>
  </w:style>
  <w:style w:type="paragraph" w:customStyle="1" w:styleId="FormatvorlageNurTextArial8pt">
    <w:name w:val="Formatvorlage Nur Text + Arial 8 pt"/>
    <w:basedOn w:val="NurText"/>
    <w:rsid w:val="00FC7CE9"/>
    <w:pPr>
      <w:spacing w:line="200" w:lineRule="exact"/>
    </w:pPr>
    <w:rPr>
      <w:rFonts w:ascii="Arial" w:hAnsi="Arial"/>
      <w:sz w:val="16"/>
    </w:rPr>
  </w:style>
  <w:style w:type="paragraph" w:styleId="NurText">
    <w:name w:val="Plain Text"/>
    <w:basedOn w:val="Standard"/>
    <w:rsid w:val="00FC7CE9"/>
    <w:rPr>
      <w:rFonts w:ascii="Courier New" w:hAnsi="Courier New" w:cs="Courier New"/>
      <w:sz w:val="20"/>
      <w:szCs w:val="20"/>
    </w:rPr>
  </w:style>
  <w:style w:type="character" w:customStyle="1" w:styleId="RefTxt1">
    <w:name w:val="RefTxt1"/>
    <w:basedOn w:val="Absatz-Standardschriftart"/>
    <w:rsid w:val="009128A1"/>
    <w:rPr>
      <w:rFonts w:ascii="Arial" w:hAnsi="Arial" w:cs="Arial"/>
      <w:b/>
      <w:bCs/>
      <w:dstrike w:val="0"/>
      <w:color w:val="auto"/>
      <w:spacing w:val="-8"/>
      <w:sz w:val="24"/>
      <w:szCs w:val="28"/>
      <w:vertAlign w:val="baseline"/>
      <w:lang w:val="de-DE" w:eastAsia="de-DE" w:bidi="ar-SA"/>
    </w:rPr>
  </w:style>
  <w:style w:type="table" w:styleId="TabelleSpezial1">
    <w:name w:val="Table Subtle 1"/>
    <w:aliases w:val="20 - Tab jede 2. Zeile Raster"/>
    <w:basedOn w:val="NormaleTabelle"/>
    <w:rsid w:val="00A27888"/>
    <w:pPr>
      <w:widowControl w:val="0"/>
      <w:autoSpaceDE w:val="0"/>
      <w:autoSpaceDN w:val="0"/>
      <w:adjustRightInd w:val="0"/>
      <w:spacing w:before="40" w:after="40" w:line="160" w:lineRule="exact"/>
      <w:ind w:left="57" w:right="57"/>
    </w:pPr>
    <w:rPr>
      <w:rFonts w:ascii="Arial" w:hAnsi="Arial"/>
      <w:sz w:val="14"/>
    </w:rPr>
    <w:tblPr>
      <w:tblStyleRowBandSize w:val="1"/>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Pr>
    <w:tcPr>
      <w:shd w:val="clear" w:color="auto" w:fill="E6E6E6"/>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semiHidden/>
    <w:rsid w:val="00A27888"/>
    <w:pPr>
      <w:widowControl w:val="0"/>
      <w:autoSpaceDE w:val="0"/>
      <w:autoSpaceDN w:val="0"/>
      <w:adjustRightInd w:val="0"/>
    </w:pPr>
    <w:tblPr>
      <w:tblStyleRowBandSize w:val="1"/>
      <w:tblStyleColBandSize w:val="1"/>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Kursiv">
    <w:name w:val="Kursiv"/>
    <w:basedOn w:val="NurText"/>
    <w:rsid w:val="00CF4826"/>
    <w:rPr>
      <w:i/>
    </w:rPr>
  </w:style>
  <w:style w:type="paragraph" w:styleId="Kopfzeile">
    <w:name w:val="header"/>
    <w:basedOn w:val="Standard"/>
    <w:rsid w:val="0084629D"/>
    <w:pPr>
      <w:tabs>
        <w:tab w:val="center" w:pos="4536"/>
        <w:tab w:val="right" w:pos="9072"/>
      </w:tabs>
    </w:pPr>
  </w:style>
  <w:style w:type="paragraph" w:styleId="Fuzeile">
    <w:name w:val="footer"/>
    <w:basedOn w:val="Standard"/>
    <w:rsid w:val="0084629D"/>
    <w:pPr>
      <w:tabs>
        <w:tab w:val="center" w:pos="4536"/>
        <w:tab w:val="right" w:pos="9072"/>
      </w:tabs>
    </w:pPr>
  </w:style>
  <w:style w:type="table" w:styleId="Tabellenraster">
    <w:name w:val="Table Grid"/>
    <w:basedOn w:val="NormaleTabelle"/>
    <w:rsid w:val="00561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037788"/>
    <w:rPr>
      <w:rFonts w:ascii="Tahoma" w:hAnsi="Tahoma" w:cs="Tahoma"/>
      <w:sz w:val="16"/>
      <w:szCs w:val="16"/>
    </w:rPr>
  </w:style>
  <w:style w:type="character" w:customStyle="1" w:styleId="SprechblasentextZchn">
    <w:name w:val="Sprechblasentext Zchn"/>
    <w:basedOn w:val="Absatz-Standardschriftart"/>
    <w:link w:val="Sprechblasentext"/>
    <w:rsid w:val="00037788"/>
    <w:rPr>
      <w:rFonts w:ascii="Tahoma" w:hAnsi="Tahoma" w:cs="Tahoma"/>
      <w:sz w:val="16"/>
      <w:szCs w:val="16"/>
    </w:rPr>
  </w:style>
  <w:style w:type="character" w:styleId="Hyperlink">
    <w:name w:val="Hyperlink"/>
    <w:basedOn w:val="Absatz-Standardschriftart"/>
    <w:uiPriority w:val="99"/>
    <w:rsid w:val="003B04D0"/>
    <w:rPr>
      <w:color w:val="0000FF" w:themeColor="hyperlink"/>
      <w:u w:val="single"/>
    </w:rPr>
  </w:style>
  <w:style w:type="character" w:styleId="Kommentarzeichen">
    <w:name w:val="annotation reference"/>
    <w:basedOn w:val="Absatz-Standardschriftart"/>
    <w:rsid w:val="009E73C2"/>
    <w:rPr>
      <w:sz w:val="16"/>
      <w:szCs w:val="16"/>
    </w:rPr>
  </w:style>
  <w:style w:type="paragraph" w:styleId="Kommentartext">
    <w:name w:val="annotation text"/>
    <w:basedOn w:val="Standard"/>
    <w:link w:val="KommentartextZchn"/>
    <w:rsid w:val="009E73C2"/>
    <w:rPr>
      <w:sz w:val="20"/>
      <w:szCs w:val="20"/>
    </w:rPr>
  </w:style>
  <w:style w:type="character" w:customStyle="1" w:styleId="KommentartextZchn">
    <w:name w:val="Kommentartext Zchn"/>
    <w:basedOn w:val="Absatz-Standardschriftart"/>
    <w:link w:val="Kommentartext"/>
    <w:rsid w:val="009E73C2"/>
  </w:style>
  <w:style w:type="paragraph" w:styleId="Kommentarthema">
    <w:name w:val="annotation subject"/>
    <w:basedOn w:val="Kommentartext"/>
    <w:next w:val="Kommentartext"/>
    <w:link w:val="KommentarthemaZchn"/>
    <w:rsid w:val="009E73C2"/>
    <w:rPr>
      <w:b/>
      <w:bCs/>
    </w:rPr>
  </w:style>
  <w:style w:type="character" w:customStyle="1" w:styleId="KommentarthemaZchn">
    <w:name w:val="Kommentarthema Zchn"/>
    <w:basedOn w:val="KommentartextZchn"/>
    <w:link w:val="Kommentarthema"/>
    <w:rsid w:val="009E73C2"/>
    <w:rPr>
      <w:b/>
      <w:bCs/>
    </w:rPr>
  </w:style>
  <w:style w:type="character" w:styleId="BesuchterHyperlink">
    <w:name w:val="FollowedHyperlink"/>
    <w:basedOn w:val="Absatz-Standardschriftart"/>
    <w:semiHidden/>
    <w:unhideWhenUsed/>
    <w:rsid w:val="00CB41AB"/>
    <w:rPr>
      <w:color w:val="800080" w:themeColor="followedHyperlink"/>
      <w:u w:val="single"/>
    </w:rPr>
  </w:style>
  <w:style w:type="character" w:customStyle="1" w:styleId="UnresolvedMention">
    <w:name w:val="Unresolved Mention"/>
    <w:basedOn w:val="Absatz-Standardschriftart"/>
    <w:uiPriority w:val="99"/>
    <w:semiHidden/>
    <w:unhideWhenUsed/>
    <w:rsid w:val="00A02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70684">
      <w:bodyDiv w:val="1"/>
      <w:marLeft w:val="0"/>
      <w:marRight w:val="0"/>
      <w:marTop w:val="0"/>
      <w:marBottom w:val="0"/>
      <w:divBdr>
        <w:top w:val="none" w:sz="0" w:space="0" w:color="auto"/>
        <w:left w:val="none" w:sz="0" w:space="0" w:color="auto"/>
        <w:bottom w:val="none" w:sz="0" w:space="0" w:color="auto"/>
        <w:right w:val="none" w:sz="0" w:space="0" w:color="auto"/>
      </w:divBdr>
    </w:div>
    <w:div w:id="1578054362">
      <w:bodyDiv w:val="1"/>
      <w:marLeft w:val="0"/>
      <w:marRight w:val="0"/>
      <w:marTop w:val="0"/>
      <w:marBottom w:val="0"/>
      <w:divBdr>
        <w:top w:val="none" w:sz="0" w:space="0" w:color="auto"/>
        <w:left w:val="none" w:sz="0" w:space="0" w:color="auto"/>
        <w:bottom w:val="none" w:sz="0" w:space="0" w:color="auto"/>
        <w:right w:val="none" w:sz="0" w:space="0" w:color="auto"/>
      </w:divBdr>
    </w:div>
    <w:div w:id="1662270596">
      <w:bodyDiv w:val="1"/>
      <w:marLeft w:val="0"/>
      <w:marRight w:val="0"/>
      <w:marTop w:val="0"/>
      <w:marBottom w:val="0"/>
      <w:divBdr>
        <w:top w:val="none" w:sz="0" w:space="0" w:color="auto"/>
        <w:left w:val="none" w:sz="0" w:space="0" w:color="auto"/>
        <w:bottom w:val="none" w:sz="0" w:space="0" w:color="auto"/>
        <w:right w:val="none" w:sz="0" w:space="0" w:color="auto"/>
      </w:divBdr>
    </w:div>
    <w:div w:id="19436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spmap.e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c.europa.eu/europeaid/how/finance/eidhr_en.htm_en" TargetMode="External"/><Relationship Id="rId17" Type="http://schemas.openxmlformats.org/officeDocument/2006/relationships/hyperlink" Target="https://info.brot-fuer-die-welt.de/blog/dr-martina-fischer" TargetMode="External"/><Relationship Id="rId2" Type="http://schemas.openxmlformats.org/officeDocument/2006/relationships/styles" Target="styles.xml"/><Relationship Id="rId16" Type="http://schemas.openxmlformats.org/officeDocument/2006/relationships/hyperlink" Target="http://hrdn.eu/2017/wp-content/uploads/2018/03/HRDN-Statement-Promoting-Human-Rights-and-Democracy-in-the-MFF.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fo.brot-fuer-die-welt.de/blog/eu-plaene-zur-foerderung-ruestungsentwicklu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cordeurope.org/2018/04/10/mff-single-external-instrument-reaction/" TargetMode="External"/><Relationship Id="rId23" Type="http://schemas.openxmlformats.org/officeDocument/2006/relationships/fontTable" Target="fontTable.xml"/><Relationship Id="rId10" Type="http://schemas.openxmlformats.org/officeDocument/2006/relationships/hyperlink" Target="https://ec.europa.eu/commission/sites/beta-political/files/annex-communication-modern-budget-may2018_en.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c.europa.eu/commission/sites/beta-political/files/annex-communication-modern-budget-may2018_en.pdf" TargetMode="External"/><Relationship Id="rId22"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719E3827.dotm</Template>
  <TotalTime>0</TotalTime>
  <Pages>4</Pages>
  <Words>1629</Words>
  <Characters>10519</Characters>
  <Application>Microsoft Office Word</Application>
  <DocSecurity>4</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ADM2008fs</dc:creator>
  <cp:lastModifiedBy>martina.fischer</cp:lastModifiedBy>
  <cp:revision>2</cp:revision>
  <cp:lastPrinted>2018-06-12T16:58:00Z</cp:lastPrinted>
  <dcterms:created xsi:type="dcterms:W3CDTF">2018-06-14T16:23:00Z</dcterms:created>
  <dcterms:modified xsi:type="dcterms:W3CDTF">2018-06-14T16:23:00Z</dcterms:modified>
</cp:coreProperties>
</file>